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0EDC0871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584145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2A3CA1C2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7316469F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38A035FA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7543872B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Cynorthwy-ydd Ymchwil</w:t>
      </w:r>
    </w:p>
    <w:p w:rsidR="00D50481" w:rsidRPr="00703D00" w:rsidP="00BF1362" w14:paraId="3AA5642C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2A5044F2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C85711" w:rsidP="00276655" w14:paraId="7600C705" w14:textId="5226B3A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Cyfadran:</w:t>
            </w:r>
          </w:p>
        </w:tc>
        <w:tc>
          <w:tcPr>
            <w:tcW w:w="8364" w:type="dxa"/>
          </w:tcPr>
          <w:p w:rsidR="002D0DDE" w:rsidRPr="002D0DDE" w:rsidP="00276655" w14:paraId="16DFFF42" w14:textId="20315FF5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4"/>
                <w:rtl w:val="0"/>
                <w:lang w:val="cy-GB"/>
              </w:rPr>
              <w:t>Gwyddoniaeth a Pheirianneg</w:t>
            </w:r>
          </w:p>
        </w:tc>
      </w:tr>
      <w:tr w14:paraId="42C0DC41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68015D" w:rsidRPr="00C85711" w:rsidP="00276655" w14:paraId="6471B3B4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8015D" w:rsidRPr="00957F6A" w:rsidP="00276655" w14:paraId="7907FEA4" w14:textId="1AD757B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  <w:highlight w:val="yellow"/>
              </w:rPr>
            </w:pPr>
            <w:r w:rsidRPr="00A60E6A">
              <w:rPr>
                <w:rFonts w:ascii="Calibri" w:hAnsi="Calibri" w:cs="Arial"/>
                <w:b/>
                <w:bCs/>
                <w:i/>
                <w:iCs/>
                <w:sz w:val="22"/>
                <w:szCs w:val="24"/>
                <w:rtl w:val="0"/>
                <w:lang w:val="cy-GB"/>
              </w:rPr>
              <w:t>Y Sefydliad Deunyddiau Strwythurol (ISM)</w:t>
            </w:r>
          </w:p>
        </w:tc>
      </w:tr>
      <w:tr w14:paraId="1AC4135A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C85711" w:rsidP="00D50481" w14:paraId="7BCE7B0F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71929" w:rsidRPr="00C85711" w:rsidP="005D60D4" w14:paraId="3B53D94C" w14:textId="6067533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Gradd 7: </w:t>
            </w:r>
            <w:r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£32,982 to £37,099 y flwyddyn </w:t>
            </w:r>
          </w:p>
        </w:tc>
      </w:tr>
      <w:tr w14:paraId="4AC8325B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DB3E32" w:rsidRPr="00C85711" w:rsidP="00D50481" w14:paraId="6F2715E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DB3E32" w:rsidRPr="00C85711" w:rsidP="00D50481" w14:paraId="497FE6DB" w14:textId="22F51FAB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4"/>
                <w:rtl w:val="0"/>
                <w:lang w:val="cy-GB"/>
              </w:rPr>
              <w:t xml:space="preserve">35 </w:t>
            </w:r>
          </w:p>
        </w:tc>
      </w:tr>
      <w:tr w14:paraId="69BFAB5A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A53304" w:rsidP="00D50481" w14:paraId="301BEC1B" w14:textId="480F84A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</w:tcPr>
          <w:p w:rsidR="00A53304" w:rsidRPr="00A60E6A" w:rsidP="00D50481" w14:paraId="3A3DA3BF" w14:textId="1661CD7F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</w:rPr>
            </w:pPr>
            <w:r w:rsidRPr="00A60E6A">
              <w:rPr>
                <w:rFonts w:ascii="Calibri" w:hAnsi="Calibri" w:cs="Arial"/>
                <w:b/>
                <w:bCs/>
                <w:i/>
                <w:iCs/>
                <w:sz w:val="22"/>
                <w:szCs w:val="24"/>
                <w:rtl w:val="0"/>
                <w:lang w:val="cy-GB"/>
              </w:rPr>
              <w:t>1</w:t>
            </w:r>
          </w:p>
        </w:tc>
      </w:tr>
      <w:tr w14:paraId="19FA979C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7D409BE1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27E69" w:rsidRPr="00A60E6A" w:rsidP="00921FEB" w14:paraId="32A90A3D" w14:textId="265E8549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60E6A">
              <w:rPr>
                <w:rFonts w:ascii="Calibri" w:hAnsi="Calibri" w:cs="Arial"/>
                <w:b/>
                <w:bCs/>
                <w:sz w:val="22"/>
                <w:szCs w:val="24"/>
                <w:rtl w:val="0"/>
                <w:lang w:val="cy-GB"/>
              </w:rPr>
              <w:t>Swydd am gyfnod penodol o 38 mis yw hon</w:t>
            </w:r>
          </w:p>
        </w:tc>
      </w:tr>
      <w:tr w14:paraId="13AF44E5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3D97002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E27E69" w:rsidRPr="00A60E6A" w:rsidP="0068015D" w14:paraId="64EDD91E" w14:textId="595A5408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60E6A">
              <w:rPr>
                <w:rFonts w:ascii="Calibri" w:hAnsi="Calibri" w:cs="Arial"/>
                <w:b/>
                <w:bCs/>
                <w:sz w:val="22"/>
                <w:szCs w:val="24"/>
                <w:rtl w:val="0"/>
                <w:lang w:val="cy-GB"/>
              </w:rPr>
              <w:t>Bydd deiliad y swydd hon yn gweithio yn adeilad yr ISM, Campws y Bae</w:t>
            </w:r>
          </w:p>
        </w:tc>
      </w:tr>
    </w:tbl>
    <w:p w:rsidR="002D0DDE" w:rsidRPr="00703D00" w:rsidP="00CD4031" w14:paraId="45F2B55F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844"/>
        <w:gridCol w:w="9072"/>
      </w:tblGrid>
      <w:tr w14:paraId="2E5099A0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3C0185" w:rsidP="00166BD2" w14:paraId="27388095" w14:textId="750ADC7E">
            <w:pPr>
              <w:bidi w:val="0"/>
              <w:jc w:val="left"/>
            </w:pPr>
            <w:r w:rsidRPr="00D50C7C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Cyflwyniad</w:t>
            </w:r>
          </w:p>
        </w:tc>
        <w:tc>
          <w:tcPr>
            <w:tcW w:w="9072" w:type="dxa"/>
          </w:tcPr>
          <w:p w:rsidR="003C0185" w:rsidRPr="003C0185" w:rsidP="003C0185" w14:paraId="3DA9989D" w14:textId="1D984336">
            <w:pPr>
              <w:bidi w:val="0"/>
              <w:spacing w:after="240"/>
              <w:rPr>
                <w:rFonts w:asciiTheme="minorHAnsi" w:hAnsiTheme="minorHAnsi" w:cstheme="minorHAnsi"/>
                <w:szCs w:val="24"/>
              </w:rPr>
            </w:pPr>
            <w:r w:rsidRPr="00D50C7C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O 1 Tachwedd 2024, mae angen Cynorthwy-ydd Ymchwil (am gyfnod o 38 mis) i gynnal ymchwil fel rhan o'r rhaglen NEURONE, mewn cydweithrediad â'r UKAEA, y Sefydliad Prosesu Deunyddiau, Sheffield Forgemasters a Phrifysgolion Birmingham, Rhydychen, Manceinion, Sheffield ac Imperial. </w:t>
            </w:r>
            <w:r w:rsidRPr="00D50C7C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Mae NEURONE yn fenter gwerth £10m, a ariennir gan raglen UK Fusion Futures, i ddatblygu dur uwch ar raddfa ddiwydiannol dros y 5 mlynedd nesaf i'w ddefnyddio yn y sector ymasiad masnachol. </w:t>
            </w:r>
            <w:r w:rsidRPr="00D50C7C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Mae'r consortiwm yn cynrychioli cryn ehangder ar draws y raddfa Lefel Parodrwydd Technoleg (TRL) gyfan, o fodelu atomaidd a thomograffeg chwiliedydd atom ar un ochr, drwy brototeipio aloiau a phrofion arbelydru, hyd at gynhyrchwyr dur mawr ar yr ochr arall. </w:t>
            </w:r>
            <w:r w:rsidRPr="00D50C7C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Mae'r arbenigedd amrywiol yn y consortiwm yn sicrhau dull cynhwysfawr o fynd i'r afael â'r heriau sylweddol sy'n gysylltiedig â datblygu dur uwch ar raddfa ddiwydiannol ar gyfer cymwysiadau ymasiad. </w:t>
            </w:r>
          </w:p>
        </w:tc>
      </w:tr>
      <w:tr w14:paraId="0756F337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3C0185" w:rsidP="00166BD2" w14:paraId="25DFEF3B" w14:textId="108C7B63">
            <w:pPr>
              <w:bidi w:val="0"/>
              <w:jc w:val="left"/>
            </w:pPr>
            <w:r w:rsidRPr="00D50C7C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Gwybodaeth gefndirol</w:t>
            </w:r>
          </w:p>
        </w:tc>
        <w:tc>
          <w:tcPr>
            <w:tcW w:w="9072" w:type="dxa"/>
          </w:tcPr>
          <w:p w:rsidR="003C0185" w:rsidRPr="00D50C7C" w:rsidP="003C0185" w14:paraId="2BEBA76A" w14:textId="54ED0502">
            <w:pPr>
              <w:bidi w:val="0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D50C7C">
              <w:rPr>
                <w:rFonts w:asciiTheme="minorHAnsi" w:hAnsiTheme="minorHAnsi" w:cstheme="minorHAnsi"/>
                <w:szCs w:val="22"/>
                <w:rtl w:val="0"/>
                <w:lang w:val="cy-GB"/>
              </w:rPr>
              <w:t xml:space="preserve">Bydd deiliad y swydd yn gweithio yn y Sefydliad Deunyddiau Strwythurol, y Gyfadran Gwyddoniaeth a Pheirianneg, Campws y Bae. </w:t>
            </w:r>
            <w:r w:rsidRPr="00D50C7C">
              <w:rPr>
                <w:rFonts w:asciiTheme="minorHAnsi" w:hAnsiTheme="minorHAnsi" w:cstheme="minorHAnsi"/>
                <w:szCs w:val="22"/>
                <w:rtl w:val="0"/>
                <w:lang w:val="cy-GB"/>
              </w:rPr>
              <w:t xml:space="preserve">Mae prif weithgareddau ymchwil yr ISM yn ymwneud â nodweddu deunyddiau uwch a pherfformiad uchel o safbwynt mecanyddol. </w:t>
            </w:r>
          </w:p>
          <w:p w:rsidR="003C0185" w:rsidRPr="00AA7F8F" w:rsidP="00CF795A" w14:paraId="1AE96867" w14:textId="77777777">
            <w:pPr>
              <w:bidi w:val="0"/>
              <w:rPr>
                <w:rFonts w:asciiTheme="minorHAnsi" w:hAnsiTheme="minorHAnsi"/>
                <w:lang w:val="en-IE"/>
              </w:rPr>
            </w:pPr>
          </w:p>
        </w:tc>
      </w:tr>
      <w:tr w14:paraId="2EB237D7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6D6147" w:rsidRPr="00F424B0" w:rsidP="003C0185" w14:paraId="73490110" w14:textId="584710BA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  <w:r w:rsidR="00703D0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Ddiben y Swydd</w:t>
            </w:r>
          </w:p>
        </w:tc>
        <w:tc>
          <w:tcPr>
            <w:tcW w:w="9072" w:type="dxa"/>
          </w:tcPr>
          <w:p w:rsidR="003C0185" w:rsidRPr="003C0185" w:rsidP="003C0185" w14:paraId="3C27253D" w14:textId="65FCBCA7">
            <w:pPr>
              <w:bidi w:val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  <w:rtl w:val="0"/>
                <w:lang w:val="cy-GB"/>
              </w:rPr>
              <w:t>Bydd y prosiect hwn yn ymwneud â'r canlynol:</w:t>
            </w:r>
          </w:p>
          <w:p w:rsidR="00CE24AC" w:rsidRPr="00A60E6A" w:rsidP="00CE24AC" w14:paraId="166760C4" w14:textId="77777777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Theme="minorHAnsi" w:hAnsiTheme="minorHAnsi"/>
                <w:sz w:val="24"/>
                <w:szCs w:val="28"/>
              </w:rPr>
            </w:pPr>
            <w:r w:rsidRPr="00A60E6A">
              <w:rPr>
                <w:rFonts w:asciiTheme="minorHAnsi" w:hAnsiTheme="minorHAnsi"/>
                <w:sz w:val="24"/>
                <w:szCs w:val="28"/>
                <w:rtl w:val="0"/>
                <w:lang w:val="cy-GB"/>
              </w:rPr>
              <w:t>Cynnal cyfres helaeth o brofion mecanyddol (profion tynnol ar dymheredd yr ystafell a thymheredd uchel, gwydnwch i wrthsefyll torri, ymgripio a lludded).</w:t>
            </w:r>
          </w:p>
          <w:p w:rsidR="002C04CE" w:rsidP="00864D8C" w14:paraId="7B05F9F8" w14:textId="5744DEED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  <w:rtl w:val="0"/>
                <w:lang w:val="cy-GB"/>
              </w:rPr>
              <w:t xml:space="preserve">Cynnal dadansoddiad microstrwythurol manwl o nifer o amrywiolion dur newydd. </w:t>
            </w:r>
          </w:p>
          <w:p w:rsidR="00CF795A" w:rsidRPr="002C04CE" w:rsidP="00864D8C" w14:paraId="01A22B23" w14:textId="08E0D349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Theme="minorHAnsi" w:hAnsiTheme="minorHAnsi"/>
                <w:sz w:val="24"/>
                <w:szCs w:val="24"/>
              </w:rPr>
            </w:pPr>
            <w:r w:rsidRPr="00A60E6A"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>Deall mecanweithiau anffurfiad a methiant gwahanol aloiau drwy fractograffeg fanwl gan ddefnyddio offer delweddu uwch.</w:t>
            </w:r>
          </w:p>
          <w:p w:rsidR="00CF795A" w:rsidRPr="00FB05FA" w:rsidP="00864D8C" w14:paraId="2FC1D01C" w14:textId="16C46E64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>Cynnal dadansoddiad addas o ddata mecanyddol a chyfrifo cydberthyniadau pan fo angen.</w:t>
            </w:r>
          </w:p>
          <w:p w:rsidR="00FB05FA" w:rsidP="00864D8C" w14:paraId="3EDA59F4" w14:textId="08CBAE0D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>Adrodd am ganfyddiadau yn rheolaidd i gydweithredwyr academaidd a diwydiannol.</w:t>
            </w:r>
          </w:p>
          <w:p w:rsidR="003C0185" w:rsidRPr="00D50C7C" w:rsidP="003C0185" w14:paraId="62D0DD99" w14:textId="77777777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D50C7C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>Lle bynnag y bo modd, bydd rhaid cynnal y profion yn unol â'r arfer gorau a ddisgrifir mewn safonau rhyngwladol perthnasol.</w:t>
            </w:r>
          </w:p>
          <w:p w:rsidR="003C0185" w:rsidP="003C0185" w14:paraId="7A032EBB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  <w:p w:rsidR="003C0185" w:rsidRPr="003C0185" w:rsidP="003C0185" w14:paraId="455D7DDC" w14:textId="2140F097">
            <w:pPr>
              <w:bidi w:val="0"/>
              <w:rPr>
                <w:rFonts w:asciiTheme="minorHAnsi" w:hAnsiTheme="minorHAnsi"/>
                <w:szCs w:val="24"/>
              </w:rPr>
            </w:pPr>
            <w:r w:rsidRPr="00D50C7C">
              <w:rPr>
                <w:rFonts w:asciiTheme="minorHAnsi" w:hAnsiTheme="minorHAnsi" w:cs="Arial"/>
                <w:szCs w:val="24"/>
                <w:rtl w:val="0"/>
                <w:lang w:val="cy-GB"/>
              </w:rPr>
              <w:t>Bydd yr ymgeisydd llwyddiannus yn cydweithio â thîm sefydledig o academyddion, swyddogion/cynorthwywyr ymchwil ôl-ddoethurol a myfyrwyr PhD ac EngD sy'n gweithio yn yr ISM ac Adeilad Gogleddol Peirianneg ar Gampws y Bae Prifysgol Abertawe.</w:t>
            </w:r>
          </w:p>
        </w:tc>
      </w:tr>
      <w:tr w14:paraId="70DED43A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622374" w:rsidP="00166BD2" w14:paraId="06150D06" w14:textId="76054BDD">
            <w:pPr>
              <w:bidi w:val="0"/>
              <w:jc w:val="left"/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Ddyletswyddau</w:t>
            </w:r>
          </w:p>
        </w:tc>
        <w:tc>
          <w:tcPr>
            <w:tcW w:w="9072" w:type="dxa"/>
          </w:tcPr>
          <w:p w:rsidR="00622374" w:rsidRPr="00CF795A" w:rsidP="00622374" w14:paraId="70A15174" w14:textId="77777777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bidi w:val="0"/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  <w:rtl w:val="0"/>
                <w:lang w:val="cy-GB"/>
              </w:rPr>
              <w:t>Cyfrannu'n rhagweithiol at ymchwil a chynnal ymchwil, gan gynnwys casglu, paratoi a dadansoddi data, meddwl am syniadau newydd a chyflwyno canlyniadau.</w:t>
            </w:r>
          </w:p>
          <w:p w:rsidR="00622374" w:rsidRPr="00CF795A" w:rsidP="00622374" w14:paraId="77BECAC5" w14:textId="77777777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bidi w:val="0"/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  <w:rtl w:val="0"/>
                <w:lang w:val="cy-GB"/>
              </w:rPr>
              <w:t xml:space="preserve">Paratoi adroddiadau, drafftio patentau a phapurau sy'n disgrifio canlyniadau'r ymchwil, boed yn gyfrinachol neu i'w cyhoeddi.  </w:t>
            </w:r>
          </w:p>
          <w:p w:rsidR="00622374" w:rsidRPr="00CF795A" w:rsidP="00622374" w14:paraId="6D75DCAD" w14:textId="2EC71199">
            <w:pPr>
              <w:numPr>
                <w:ilvl w:val="0"/>
                <w:numId w:val="36"/>
              </w:numPr>
              <w:bidi w:val="0"/>
              <w:rPr>
                <w:rFonts w:asciiTheme="minorHAnsi" w:hAnsiTheme="minorHAnsi"/>
                <w:bCs/>
                <w:iCs/>
                <w:szCs w:val="24"/>
              </w:rPr>
            </w:pPr>
            <w:r w:rsidRPr="00CF795A">
              <w:rPr>
                <w:rFonts w:asciiTheme="minorHAnsi" w:hAnsiTheme="minorHAnsi"/>
                <w:bCs/>
                <w:iCs/>
                <w:szCs w:val="24"/>
                <w:rtl w:val="0"/>
                <w:lang w:val="cy-GB"/>
              </w:rPr>
              <w:t>Dangos hunangymhelliant a defnyddio menter bersonol er mwyn dod o hyd i ffyrdd addas o fynd i'r afael â heriau, a gofyn am arweiniad yn ôl yr angen.</w:t>
            </w:r>
          </w:p>
          <w:p w:rsidR="00622374" w:rsidRPr="00CF795A" w:rsidP="00622374" w14:paraId="5D9FD574" w14:textId="3F56A571">
            <w:pPr>
              <w:numPr>
                <w:ilvl w:val="0"/>
                <w:numId w:val="36"/>
              </w:numPr>
              <w:bidi w:val="0"/>
              <w:rPr>
                <w:rFonts w:asciiTheme="minorHAnsi" w:hAnsiTheme="minorHAnsi"/>
                <w:bCs/>
                <w:iCs/>
                <w:szCs w:val="24"/>
              </w:rPr>
            </w:pPr>
            <w:r w:rsidRPr="00CF795A">
              <w:rPr>
                <w:rFonts w:asciiTheme="minorHAnsi" w:hAnsiTheme="minorHAnsi"/>
                <w:bCs/>
                <w:iCs/>
                <w:szCs w:val="24"/>
                <w:rtl w:val="0"/>
                <w:lang w:val="cy-GB"/>
              </w:rPr>
              <w:t>Rhyngweithio mewn modd cadarnhaol a phroffesiynol â chydweithredwyr a phartneriaid eraill yn y Gyfadran a mannau eraill yn y Brifysgol a'r tu allan iddi fel y bo'n briodol, megis ym myd diwydiant.</w:t>
            </w:r>
          </w:p>
          <w:p w:rsidR="00622374" w:rsidRPr="002C04CE" w:rsidP="00622374" w14:paraId="57CC9FAD" w14:textId="37CDD8A1">
            <w:pPr>
              <w:numPr>
                <w:ilvl w:val="0"/>
                <w:numId w:val="36"/>
              </w:numPr>
              <w:bidi w:val="0"/>
              <w:rPr>
                <w:rFonts w:asciiTheme="minorHAnsi" w:hAnsiTheme="minorHAnsi"/>
                <w:iCs/>
                <w:szCs w:val="24"/>
                <w:lang w:val="en-IE"/>
              </w:rPr>
            </w:pPr>
            <w:r w:rsidRPr="002C04CE">
              <w:rPr>
                <w:rFonts w:asciiTheme="minorHAnsi" w:hAnsiTheme="minorHAnsi"/>
                <w:bCs w:val="0"/>
                <w:iCs/>
                <w:szCs w:val="24"/>
                <w:rtl w:val="0"/>
                <w:lang w:val="cy-GB"/>
              </w:rPr>
              <w:t>Cyfrannu at faterion trefniadol y grŵp ymchwil er mwyn ei alluogi i weithredu’n ddidrafferth a chodi proffil ymchwil allanol yr ISM.</w:t>
            </w:r>
          </w:p>
          <w:p w:rsidR="00622374" w:rsidRPr="00CF795A" w:rsidP="00622374" w14:paraId="60169633" w14:textId="77777777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bidi w:val="0"/>
              <w:ind w:right="-20"/>
              <w:jc w:val="both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2C04CE">
              <w:rPr>
                <w:rFonts w:asciiTheme="minorHAnsi" w:hAnsiTheme="minorHAnsi" w:cs="Arial"/>
                <w:b w:val="0"/>
                <w:bCs/>
                <w:iCs/>
                <w:szCs w:val="24"/>
                <w:rtl w:val="0"/>
                <w:lang w:val="cy-GB"/>
              </w:rPr>
              <w:t xml:space="preserve">Bod yn ymwybodol o ddatblygiadau yn y maes, o safbwynt technegol, penodol a chyffredinol, a'u goblygiad ehangach ar gyfer maes y ddisgyblaeth, cymwysiadau masnachol a'r economi wybodaeth. </w:t>
            </w:r>
          </w:p>
          <w:p w:rsidR="00622374" w:rsidRPr="00CF795A" w:rsidP="00622374" w14:paraId="5D8D0103" w14:textId="77777777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bidi w:val="0"/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  <w:rtl w:val="0"/>
                <w:lang w:val="cy-GB"/>
              </w:rPr>
              <w:t>Bod yn gynrychiolydd neu’n aelod o bwyllgorau pan fo angen gan ddefnyddio'r cyfle i ehangu eich profiad proffesiynol.</w:t>
            </w:r>
          </w:p>
          <w:p w:rsidR="00622374" w:rsidRPr="00CF795A" w:rsidP="00622374" w14:paraId="056CABCE" w14:textId="77777777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bidi w:val="0"/>
              <w:ind w:right="-20"/>
              <w:jc w:val="both"/>
              <w:rPr>
                <w:rFonts w:asciiTheme="minorHAnsi" w:hAnsiTheme="minorHAnsi" w:cs="Arial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  <w:rtl w:val="0"/>
                <w:lang w:val="cy-GB"/>
              </w:rPr>
              <w:t xml:space="preserve">Dangos tystiolaeth o ddatblygiad proffesiynol personol, gan nodi anghenion datblygu drwy gyfeirio at Fframwaith Datblygu Ymchwilwyr Vitae, yn enwedig o ran y cyfnod prawf, adolygiadau datblygiad proffesiynol a chymryd rhan mewn digwyddiadau hyfforddiant. </w:t>
            </w:r>
          </w:p>
          <w:p w:rsidR="00622374" w:rsidRPr="00622374" w:rsidP="00622374" w14:paraId="3507BDE7" w14:textId="77777777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bidi w:val="0"/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  <w:rtl w:val="0"/>
                <w:lang w:val="cy-GB"/>
              </w:rPr>
              <w:t>Cynnal a gwella cysylltiadau â'r sefydliadau proffesiynol a chyrff perthynol eraill.</w:t>
            </w:r>
          </w:p>
          <w:p w:rsidR="00622374" w:rsidRPr="00694ADA" w:rsidP="00CF795A" w14:paraId="050D0603" w14:textId="77777777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bidi w:val="0"/>
              <w:ind w:right="-20"/>
              <w:jc w:val="both"/>
              <w:rPr>
                <w:rFonts w:asciiTheme="minorHAnsi" w:hAnsiTheme="minorHAnsi"/>
                <w:b w:val="0"/>
                <w:lang w:val="en-IE"/>
              </w:rPr>
            </w:pPr>
            <w:r w:rsidRPr="00694ADA">
              <w:rPr>
                <w:rFonts w:asciiTheme="minorHAnsi" w:hAnsiTheme="minorHAnsi" w:cs="Times New Roman"/>
                <w:b w:val="0"/>
                <w:szCs w:val="20"/>
                <w:rtl w:val="0"/>
                <w:lang w:val="cy-GB"/>
              </w:rPr>
              <w:t xml:space="preserve">Ufuddhau i brotocolau arfer gorau wrth gynnal a chadw cofnodion ymchwil, fel y’i nodir gan ganllawiau rheoli cofnodion Sefydliadau Addysg Uwch a'r Cynghorau Ymchwil. </w:t>
            </w:r>
            <w:r w:rsidRPr="00694ADA">
              <w:rPr>
                <w:rFonts w:asciiTheme="minorHAnsi" w:hAnsiTheme="minorHAnsi" w:cs="Times New Roman"/>
                <w:b w:val="0"/>
                <w:szCs w:val="20"/>
                <w:rtl w:val="0"/>
                <w:lang w:val="cy-GB"/>
              </w:rPr>
              <w:t>Mae hyn yn cynnwys gwneud yn siŵr bod cofnodion llyfrau log prosiectau yn cael eu cyflwyno i'r Brifysgol/Prif Ymchwilydd ar ôl gorffen y gwaith.</w:t>
            </w:r>
          </w:p>
          <w:p w:rsidR="00622374" w:rsidRPr="00AA7F8F" w:rsidP="00CF795A" w14:paraId="5FAC5251" w14:textId="77777777">
            <w:pPr>
              <w:bidi w:val="0"/>
              <w:rPr>
                <w:rFonts w:asciiTheme="minorHAnsi" w:hAnsiTheme="minorHAnsi"/>
                <w:lang w:val="en-IE"/>
              </w:rPr>
            </w:pPr>
          </w:p>
        </w:tc>
      </w:tr>
      <w:tr w14:paraId="1A95A5B8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703D00" w:rsidRPr="00F424B0" w:rsidP="00166BD2" w14:paraId="2F809701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072" w:type="dxa"/>
          </w:tcPr>
          <w:p w:rsidR="00703D00" w:rsidRPr="00703D00" w:rsidP="00703D00" w14:paraId="732DC46C" w14:textId="498508F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rPr>
                <w:rFonts w:asciiTheme="minorHAnsi" w:hAnsiTheme="minorHAnsi"/>
                <w:sz w:val="24"/>
              </w:rPr>
            </w:pPr>
            <w:r w:rsidRPr="00703D00">
              <w:rPr>
                <w:rFonts w:asciiTheme="minorHAnsi" w:hAnsiTheme="minorHAnsi"/>
                <w:sz w:val="24"/>
                <w:rtl w:val="0"/>
                <w:lang w:val="cy-GB"/>
              </w:rPr>
              <w:t xml:space="preserve">Hyrwyddo cydraddoldeb ac amrywiaeth mewn arferion gwaith a chynnal perthnasoedd gweithio cadarnhaol. </w:t>
            </w:r>
          </w:p>
          <w:p w:rsidR="00703D00" w:rsidRPr="00703D00" w:rsidP="00703D00" w14:paraId="3DD552E1" w14:textId="55A355F1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rPr>
                <w:rFonts w:asciiTheme="minorHAnsi" w:hAnsiTheme="minorHAnsi"/>
                <w:sz w:val="24"/>
              </w:rPr>
            </w:pPr>
            <w:r w:rsidRPr="00703D00">
              <w:rPr>
                <w:rFonts w:asciiTheme="minorHAnsi" w:hAnsiTheme="minorHAnsi"/>
                <w:sz w:val="24"/>
                <w:rtl w:val="0"/>
                <w:lang w:val="cy-GB"/>
              </w:rPr>
              <w:t>Cyflawni rôl a holl weithgareddau'r swydd yn unol â systemau rheoli a pholisïau diogelwch, iechyd a chynaliadwyedd, er mwyn lleihau’r risgiau a’r effeithiau sy’n deillio o weithgarwch y swydd.</w:t>
            </w:r>
          </w:p>
          <w:p w:rsidR="00703D00" w:rsidRPr="009A4F50" w:rsidP="00703D00" w14:paraId="41A33E9C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rPr>
                <w:rFonts w:asciiTheme="minorHAnsi" w:hAnsiTheme="minorHAnsi"/>
                <w:sz w:val="24"/>
                <w:u w:val="single"/>
              </w:rPr>
            </w:pPr>
            <w:r w:rsidRPr="00703D00">
              <w:rPr>
                <w:rFonts w:asciiTheme="minorHAnsi" w:hAnsiTheme="minorHAnsi"/>
                <w:sz w:val="24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  <w:p w:rsidR="009A4F50" w:rsidRPr="009A4F50" w:rsidP="00703D00" w14:paraId="3BD94E17" w14:textId="06907DD9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rPr>
                <w:rFonts w:asciiTheme="minorHAnsi" w:hAnsiTheme="minorHAnsi"/>
                <w:sz w:val="24"/>
              </w:rPr>
            </w:pPr>
            <w:r w:rsidRPr="009A4F50">
              <w:rPr>
                <w:rFonts w:asciiTheme="minorHAnsi" w:hAnsiTheme="minorHAnsi"/>
                <w:sz w:val="24"/>
                <w:rtl w:val="0"/>
                <w:lang w:val="cy-GB"/>
              </w:rPr>
              <w:t>Unrhyw ddyletswyddau eraill y mae'r Gyfadran/y Gyfarwyddiaeth/y Maes Gwasanaeth wedi cytuno arnynt.</w:t>
            </w:r>
          </w:p>
        </w:tc>
      </w:tr>
      <w:tr w14:paraId="70A407A9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6D6147" w:rsidRPr="00F424B0" w:rsidP="00166BD2" w14:paraId="7A0343C1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Manyleb Person</w:t>
            </w:r>
          </w:p>
          <w:p w:rsidR="006D6147" w:rsidRPr="00790AC8" w:rsidP="00166BD2" w14:paraId="6A4B40FE" w14:textId="77777777">
            <w:pPr>
              <w:bidi w:val="0"/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:rsidR="00CF795A" w:rsidRPr="008744B8" w:rsidP="008744B8" w14:paraId="6409301B" w14:textId="77777777">
            <w:pPr>
              <w:bidi w:val="0"/>
              <w:rPr>
                <w:rFonts w:asciiTheme="minorHAnsi" w:hAnsiTheme="minorHAnsi"/>
                <w:szCs w:val="24"/>
              </w:rPr>
            </w:pPr>
            <w:r w:rsidRPr="008744B8">
              <w:rPr>
                <w:rFonts w:ascii="Calibri" w:hAnsi="Calibri"/>
                <w:b/>
                <w:bCs/>
                <w:szCs w:val="24"/>
                <w:rtl w:val="0"/>
                <w:lang w:val="cy-GB"/>
              </w:rPr>
              <w:t>Meini Prawf Hanfodol:</w:t>
            </w:r>
            <w:r w:rsidRPr="008744B8">
              <w:rPr>
                <w:rFonts w:ascii="Calibri" w:hAnsi="Calibri"/>
                <w:b w:val="0"/>
                <w:szCs w:val="24"/>
                <w:rtl w:val="0"/>
                <w:lang w:val="cy-GB"/>
              </w:rPr>
              <w:t xml:space="preserve"> </w:t>
            </w:r>
          </w:p>
          <w:p w:rsidR="00B11ED8" w:rsidRPr="00D50C7C" w:rsidP="00B11ED8" w14:paraId="1E1C2AF5" w14:textId="77777777">
            <w:pPr>
              <w:pStyle w:val="ListParagraph"/>
              <w:numPr>
                <w:ilvl w:val="0"/>
                <w:numId w:val="38"/>
              </w:numPr>
              <w:bidi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50C7C">
              <w:rPr>
                <w:rFonts w:asciiTheme="minorHAnsi" w:hAnsiTheme="minorHAnsi" w:cs="Arial"/>
                <w:sz w:val="24"/>
                <w:szCs w:val="24"/>
                <w:rtl w:val="0"/>
                <w:lang w:val="cy-GB"/>
              </w:rPr>
              <w:t>Gradd mewn Gwyddor Deunyddiau a Pheirianneg neu gymhwyster cyfatebol neu gymhwyster ôl-raddedig mewn Gwyddor Deunyddiau a Pheirianneg neu gyfwerth.</w:t>
            </w:r>
          </w:p>
          <w:p w:rsidR="00CF795A" w:rsidP="00CF795A" w14:paraId="17C21DE6" w14:textId="77777777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  <w:rtl w:val="0"/>
                <w:lang w:val="cy-GB"/>
              </w:rPr>
              <w:t xml:space="preserve">Tystiolaeth o’r gallu i ymgymryd â gwaith ysgrifennu a chyhoeddi papurau ymchwil, yn arbennig ar gyfer cyfnodolion a adolygir a chyfrannu at y gwaith hwn. </w:t>
            </w:r>
          </w:p>
          <w:p w:rsidR="002C04CE" w:rsidP="00CF795A" w14:paraId="1EB73901" w14:textId="5F147540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rtl w:val="0"/>
                <w:lang w:val="cy-GB"/>
              </w:rPr>
              <w:t>Tystiolaeth o gyflwyno canfyddiadau ymchwil i gynulleidfa fedrus gan gynnwys cydweithwyr o fyd diwydiant a'r byd academaidd.</w:t>
            </w:r>
          </w:p>
          <w:p w:rsidR="00B11ED8" w:rsidRPr="00CF795A" w:rsidP="00CF795A" w14:paraId="57F779C7" w14:textId="4C07B7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="Arial"/>
                <w:sz w:val="24"/>
                <w:szCs w:val="24"/>
              </w:rPr>
            </w:pPr>
            <w:r w:rsidRPr="00D50C7C">
              <w:rPr>
                <w:rFonts w:asciiTheme="minorHAnsi" w:hAnsiTheme="minorHAnsi" w:cs="Arial"/>
                <w:sz w:val="24"/>
                <w:szCs w:val="24"/>
                <w:rtl w:val="0"/>
                <w:lang w:val="cy-GB"/>
              </w:rPr>
              <w:t>Hanes o fynychu cynadleddau cenedlaethol/rhyngwladol i ledaenu ymchwil.</w:t>
            </w:r>
          </w:p>
          <w:p w:rsidR="00CF795A" w:rsidRPr="00CF795A" w:rsidP="00CF795A" w14:paraId="0D01C664" w14:textId="04B6E517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  <w:rtl w:val="0"/>
                <w:lang w:val="cy-GB"/>
              </w:rPr>
              <w:t>Tystiolaeth o’r gallu i gynnal ymchwil yn unol ag amcanion y prosiect.</w:t>
            </w:r>
          </w:p>
          <w:p w:rsidR="00CF795A" w:rsidRPr="00CF795A" w:rsidP="00CF795A" w14:paraId="1824A8E5" w14:textId="05CD4F9C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  <w:rtl w:val="0"/>
                <w:lang w:val="cy-GB"/>
              </w:rPr>
              <w:t>Tystiolaeth o sgiliau cynllunio i gyfrannu at y prosiect ymchwil.</w:t>
            </w:r>
          </w:p>
          <w:p w:rsidR="00B11ED8" w:rsidP="00B11ED8" w14:paraId="25D48239" w14:textId="77777777">
            <w:pPr>
              <w:pStyle w:val="ListParagraph"/>
              <w:numPr>
                <w:ilvl w:val="0"/>
                <w:numId w:val="38"/>
              </w:numPr>
              <w:bidi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50C7C">
              <w:rPr>
                <w:rFonts w:asciiTheme="minorHAnsi" w:hAnsiTheme="minorHAnsi" w:cs="Arial"/>
                <w:sz w:val="24"/>
                <w:szCs w:val="24"/>
                <w:rtl w:val="0"/>
                <w:lang w:val="cy-GB"/>
              </w:rPr>
              <w:t xml:space="preserve">Y gallu i ddangos annibyniaeth sylweddol o ran ffocws a chyfeiriad mewn ymchwil – penderfynu 'beth, pam, pryd a chyda phwy' i fwrw ymlaen â'r gwaith. </w:t>
            </w:r>
          </w:p>
          <w:p w:rsidR="00B11ED8" w:rsidP="00B11ED8" w14:paraId="60D0452D" w14:textId="667BB2F4">
            <w:pPr>
              <w:pStyle w:val="ListParagraph"/>
              <w:numPr>
                <w:ilvl w:val="0"/>
                <w:numId w:val="38"/>
              </w:numPr>
              <w:bidi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rtl w:val="0"/>
                <w:lang w:val="cy-GB"/>
              </w:rPr>
              <w:t>Gwybodaeth a'r gallu i gynnal amrywiaeth o brofion mecanyddol ar ddeunyddiau metelaidd.</w:t>
            </w:r>
          </w:p>
          <w:p w:rsidR="00B11ED8" w:rsidRPr="00D50C7C" w:rsidP="00B11ED8" w14:paraId="5F66B577" w14:textId="77777777">
            <w:pPr>
              <w:pStyle w:val="ListParagraph"/>
              <w:numPr>
                <w:ilvl w:val="0"/>
                <w:numId w:val="38"/>
              </w:numPr>
              <w:bidi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50C7C"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>Deall cynnal ymchwil mewn labordy yn unol ag achrediad ISO17025, a thystiolaeth o gefndir yn y maes hwnnw.</w:t>
            </w:r>
          </w:p>
          <w:p w:rsidR="006D6147" w:rsidP="008013A2" w14:paraId="567CC16F" w14:textId="65ECC164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/>
                <w:sz w:val="24"/>
                <w:szCs w:val="24"/>
              </w:rPr>
            </w:pPr>
            <w:r w:rsidRPr="00CF795A"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>Ymrwymiad i ddatblygiad proffesiynol parhaus.</w:t>
            </w:r>
          </w:p>
          <w:p w:rsidR="00B11ED8" w:rsidP="00B11ED8" w14:paraId="7FD49E45" w14:textId="77777777">
            <w:pPr>
              <w:pStyle w:val="ListParagraph"/>
              <w:bidi w:val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01424F" w:rsidRPr="00CE24AC" w:rsidP="00CE24AC" w14:paraId="45BABE03" w14:textId="582D3DBE">
            <w:pPr>
              <w:pStyle w:val="ListParagraph"/>
              <w:bidi w:val="0"/>
              <w:spacing w:after="24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D50C7C">
              <w:rPr>
                <w:rFonts w:ascii="Calibri" w:hAnsi="Calibri"/>
                <w:b/>
                <w:bCs/>
                <w:sz w:val="24"/>
                <w:szCs w:val="24"/>
                <w:rtl w:val="0"/>
                <w:lang w:val="cy-GB"/>
              </w:rPr>
              <w:t>Meini Prawf Dymunol:</w:t>
            </w:r>
          </w:p>
          <w:p w:rsidR="00B11ED8" w:rsidRPr="00D50C7C" w:rsidP="00B11ED8" w14:paraId="3DF73A2C" w14:textId="2E491BC2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/>
                <w:sz w:val="24"/>
                <w:szCs w:val="24"/>
              </w:rPr>
            </w:pPr>
            <w:r w:rsidRPr="00D50C7C">
              <w:rPr>
                <w:rFonts w:asciiTheme="minorHAnsi" w:hAnsiTheme="minorHAnsi" w:cs="Times New Roman"/>
                <w:sz w:val="24"/>
                <w:szCs w:val="24"/>
                <w:rtl w:val="0"/>
                <w:lang w:val="cy-GB"/>
              </w:rPr>
              <w:t>Profiad o oruchwylio prosiectau ymchwil myfyrwyr israddedig neu ôl-raddedig.</w:t>
            </w:r>
          </w:p>
          <w:p w:rsidR="008744B8" w:rsidRPr="002C04CE" w:rsidP="008744B8" w14:paraId="0B159EA3" w14:textId="725D7375">
            <w:pPr>
              <w:bidi w:val="0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2C04CE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Y Gymraeg:</w:t>
            </w:r>
            <w:r w:rsidRPr="002C04CE">
              <w:rPr>
                <w:rFonts w:ascii="Calibri" w:hAnsi="Calibri"/>
                <w:b w:val="0"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8744B8" w:rsidRPr="002C04CE" w:rsidP="008744B8" w14:paraId="064802DF" w14:textId="6ACE5F93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2C04CE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Lefel 1 – ‘ychydig’ (ni fydd angen i chi allu siarad Cymraeg i gyflwyno cais am y rôl hon)</w:t>
            </w:r>
          </w:p>
          <w:p w:rsidR="008744B8" w:rsidRPr="002C04CE" w:rsidP="008744B8" w14:paraId="13A2E83A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2C04CE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e.e. ynganu geiriau Cymraeg, enwau lleoedd, enwau adrannau.</w:t>
            </w:r>
            <w:r w:rsidRPr="002C04CE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2C04CE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ateb y ffôn yn Gymraeg (bore da/pnawn da).</w:t>
            </w:r>
            <w:r w:rsidRPr="002C04CE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2C04CE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defnyddio/dysgu geiriau ac ymadroddion pob dydd sylfaenol (diolch, os gwelwch yn dda, esgusodwch fi).</w:t>
            </w:r>
            <w:r w:rsidRPr="002C04CE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2C04CE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8744B8" w:rsidP="008744B8" w14:paraId="711DE8B2" w14:textId="77777777">
            <w:pPr>
              <w:bidi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07531A" w:rsidRPr="002C04CE" w:rsidP="002C04CE" w14:paraId="75E86CD4" w14:textId="14279F9C">
            <w:pPr>
              <w:bidi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.</w:t>
            </w:r>
          </w:p>
        </w:tc>
      </w:tr>
      <w:tr w14:paraId="500B4834" w14:textId="77777777" w:rsidTr="002C04CE">
        <w:tblPrEx>
          <w:tblW w:w="10916" w:type="dxa"/>
          <w:tblInd w:w="-176" w:type="dxa"/>
          <w:tblLayout w:type="fixed"/>
          <w:tblLook w:val="04A0"/>
        </w:tblPrEx>
        <w:trPr>
          <w:trHeight w:val="1658"/>
        </w:trPr>
        <w:tc>
          <w:tcPr>
            <w:tcW w:w="1844" w:type="dxa"/>
            <w:shd w:val="clear" w:color="auto" w:fill="366091" w:themeFill="accent1" w:themeFillShade="BF"/>
            <w:vAlign w:val="center"/>
          </w:tcPr>
          <w:p w:rsidR="0022601E" w:rsidRPr="009505FD" w:rsidP="0022601E" w14:paraId="5FC6C7F8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Gwybodaeth Ychwanegol</w:t>
            </w:r>
          </w:p>
        </w:tc>
        <w:tc>
          <w:tcPr>
            <w:tcW w:w="9072" w:type="dxa"/>
          </w:tcPr>
          <w:p w:rsidR="0022601E" w:rsidRPr="00CE24AC" w:rsidP="0022601E" w14:paraId="67F24C62" w14:textId="694BC325">
            <w:pPr>
              <w:bidi w:val="0"/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CE24AC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Ymholiadau anffurfiol: </w:t>
            </w:r>
            <w:r w:rsidRPr="00CE24AC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>Cysylltwch â'r Athro Robert Lancaster, r.j.lancaster@abertawe.ac.uk</w:t>
            </w:r>
          </w:p>
          <w:p w:rsidR="0022601E" w:rsidRPr="009505FD" w:rsidP="0022601E" w14:paraId="55693CE4" w14:textId="11009C53">
            <w:pPr>
              <w:bidi w:val="0"/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Dyddiad llunio’r rhestr fer: </w:t>
            </w: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>Dydd Mercher 4 Medi 2024</w:t>
            </w:r>
          </w:p>
          <w:p w:rsidR="0022601E" w:rsidRPr="002C04CE" w:rsidP="002C04CE" w14:paraId="4283A986" w14:textId="1911E2A2">
            <w:pPr>
              <w:bidi w:val="0"/>
              <w:spacing w:before="100" w:beforeAutospacing="1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Dyddiad y cyfweliad: </w:t>
            </w: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>Dydd Mercher 18 Medi 2024</w:t>
            </w:r>
          </w:p>
        </w:tc>
      </w:tr>
    </w:tbl>
    <w:p w:rsidR="003A6CD1" w:rsidP="00703D00" w14:paraId="5BDDDA84" w14:textId="77777777">
      <w:pPr>
        <w:bidi w:val="0"/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184150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rtl w:val="0"/>
          <w:lang w:val="cy-GB"/>
        </w:rPr>
        <w:tab/>
        <w:tab/>
      </w:r>
      <w:r>
        <w:rPr>
          <w:noProof/>
          <w:lang w:eastAsia="en-GB"/>
        </w:rPr>
        <w:drawing>
          <wp:inline distT="0" distB="0" distL="0" distR="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99627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rtl w:val="0"/>
          <w:lang w:val="cy-GB"/>
        </w:rPr>
        <w:tab/>
        <w:tab/>
        <w:tab/>
        <w:tab/>
      </w:r>
      <w:r w:rsidR="00B91EE8">
        <w:rPr>
          <w:noProof/>
          <w:lang w:eastAsia="en-GB"/>
        </w:rPr>
        <w:drawing>
          <wp:inline distT="0" distB="0" distL="0" distR="0">
            <wp:extent cx="914400" cy="621792"/>
            <wp:effectExtent l="0" t="0" r="0" b="6985"/>
            <wp:docPr id="1838025883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250354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9E0A43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70BA2396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956C8"/>
    <w:multiLevelType w:val="hybridMultilevel"/>
    <w:tmpl w:val="0E6A7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A812BF"/>
    <w:multiLevelType w:val="hybridMultilevel"/>
    <w:tmpl w:val="EC7281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7"/>
  </w:num>
  <w:num w:numId="4">
    <w:abstractNumId w:val="34"/>
  </w:num>
  <w:num w:numId="5">
    <w:abstractNumId w:val="10"/>
  </w:num>
  <w:num w:numId="6">
    <w:abstractNumId w:val="22"/>
  </w:num>
  <w:num w:numId="7">
    <w:abstractNumId w:val="14"/>
  </w:num>
  <w:num w:numId="8">
    <w:abstractNumId w:val="36"/>
  </w:num>
  <w:num w:numId="9">
    <w:abstractNumId w:val="35"/>
  </w:num>
  <w:num w:numId="10">
    <w:abstractNumId w:val="28"/>
  </w:num>
  <w:num w:numId="11">
    <w:abstractNumId w:val="4"/>
  </w:num>
  <w:num w:numId="12">
    <w:abstractNumId w:val="25"/>
  </w:num>
  <w:num w:numId="13">
    <w:abstractNumId w:val="6"/>
  </w:num>
  <w:num w:numId="14">
    <w:abstractNumId w:val="31"/>
  </w:num>
  <w:num w:numId="15">
    <w:abstractNumId w:val="8"/>
  </w:num>
  <w:num w:numId="16">
    <w:abstractNumId w:val="18"/>
  </w:num>
  <w:num w:numId="17">
    <w:abstractNumId w:val="33"/>
  </w:num>
  <w:num w:numId="18">
    <w:abstractNumId w:val="30"/>
  </w:num>
  <w:num w:numId="19">
    <w:abstractNumId w:val="3"/>
  </w:num>
  <w:num w:numId="20">
    <w:abstractNumId w:val="12"/>
  </w:num>
  <w:num w:numId="21">
    <w:abstractNumId w:val="7"/>
  </w:num>
  <w:num w:numId="22">
    <w:abstractNumId w:val="1"/>
  </w:num>
  <w:num w:numId="23">
    <w:abstractNumId w:val="21"/>
  </w:num>
  <w:num w:numId="24">
    <w:abstractNumId w:val="20"/>
  </w:num>
  <w:num w:numId="25">
    <w:abstractNumId w:val="2"/>
  </w:num>
  <w:num w:numId="26">
    <w:abstractNumId w:val="9"/>
  </w:num>
  <w:num w:numId="27">
    <w:abstractNumId w:val="32"/>
  </w:num>
  <w:num w:numId="28">
    <w:abstractNumId w:val="23"/>
  </w:num>
  <w:num w:numId="29">
    <w:abstractNumId w:val="27"/>
  </w:num>
  <w:num w:numId="30">
    <w:abstractNumId w:val="16"/>
  </w:num>
  <w:num w:numId="31">
    <w:abstractNumId w:val="29"/>
  </w:num>
  <w:num w:numId="32">
    <w:abstractNumId w:val="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1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4A5"/>
    <w:rsid w:val="00003A9F"/>
    <w:rsid w:val="0000597A"/>
    <w:rsid w:val="0001424F"/>
    <w:rsid w:val="000309C6"/>
    <w:rsid w:val="00041C59"/>
    <w:rsid w:val="00045410"/>
    <w:rsid w:val="000478EB"/>
    <w:rsid w:val="00052ED8"/>
    <w:rsid w:val="00056648"/>
    <w:rsid w:val="00057D75"/>
    <w:rsid w:val="00073847"/>
    <w:rsid w:val="0007531A"/>
    <w:rsid w:val="00075AD1"/>
    <w:rsid w:val="0009608F"/>
    <w:rsid w:val="00096D40"/>
    <w:rsid w:val="000A0A32"/>
    <w:rsid w:val="000A1F09"/>
    <w:rsid w:val="000C032E"/>
    <w:rsid w:val="000C20FB"/>
    <w:rsid w:val="000C6FD7"/>
    <w:rsid w:val="000C7627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B63F3"/>
    <w:rsid w:val="001D1526"/>
    <w:rsid w:val="001D3E13"/>
    <w:rsid w:val="001E1D09"/>
    <w:rsid w:val="002029C1"/>
    <w:rsid w:val="002035A5"/>
    <w:rsid w:val="00206C5E"/>
    <w:rsid w:val="002110A8"/>
    <w:rsid w:val="00212A33"/>
    <w:rsid w:val="00212E08"/>
    <w:rsid w:val="0022601E"/>
    <w:rsid w:val="00232400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76655"/>
    <w:rsid w:val="00290918"/>
    <w:rsid w:val="00296E2D"/>
    <w:rsid w:val="002978DC"/>
    <w:rsid w:val="002A32AF"/>
    <w:rsid w:val="002A3E38"/>
    <w:rsid w:val="002B08D5"/>
    <w:rsid w:val="002C04CE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32167"/>
    <w:rsid w:val="003403F7"/>
    <w:rsid w:val="00343462"/>
    <w:rsid w:val="003529EB"/>
    <w:rsid w:val="00372510"/>
    <w:rsid w:val="003812E5"/>
    <w:rsid w:val="00381EF9"/>
    <w:rsid w:val="00391403"/>
    <w:rsid w:val="00393054"/>
    <w:rsid w:val="003A2833"/>
    <w:rsid w:val="003A2F91"/>
    <w:rsid w:val="003A4E26"/>
    <w:rsid w:val="003A5CE9"/>
    <w:rsid w:val="003A67FB"/>
    <w:rsid w:val="003A6CD1"/>
    <w:rsid w:val="003B2354"/>
    <w:rsid w:val="003B6BA9"/>
    <w:rsid w:val="003B7784"/>
    <w:rsid w:val="003C0185"/>
    <w:rsid w:val="003F05A7"/>
    <w:rsid w:val="00402B41"/>
    <w:rsid w:val="0040418E"/>
    <w:rsid w:val="00404258"/>
    <w:rsid w:val="00411795"/>
    <w:rsid w:val="00423C6E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8776F"/>
    <w:rsid w:val="00491995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E214A"/>
    <w:rsid w:val="004F55E6"/>
    <w:rsid w:val="00502449"/>
    <w:rsid w:val="00502939"/>
    <w:rsid w:val="00505ED5"/>
    <w:rsid w:val="0052560E"/>
    <w:rsid w:val="00525B03"/>
    <w:rsid w:val="00534D84"/>
    <w:rsid w:val="00535C56"/>
    <w:rsid w:val="00554538"/>
    <w:rsid w:val="00561901"/>
    <w:rsid w:val="005701D8"/>
    <w:rsid w:val="00571D26"/>
    <w:rsid w:val="00573A45"/>
    <w:rsid w:val="00574360"/>
    <w:rsid w:val="00575503"/>
    <w:rsid w:val="005816EA"/>
    <w:rsid w:val="00582A3A"/>
    <w:rsid w:val="00592F36"/>
    <w:rsid w:val="00597F67"/>
    <w:rsid w:val="005C1D6F"/>
    <w:rsid w:val="005C37D4"/>
    <w:rsid w:val="005C5A1C"/>
    <w:rsid w:val="005D60D4"/>
    <w:rsid w:val="005D7B0D"/>
    <w:rsid w:val="005E0096"/>
    <w:rsid w:val="005F5AEB"/>
    <w:rsid w:val="005F7C7D"/>
    <w:rsid w:val="00601312"/>
    <w:rsid w:val="00603529"/>
    <w:rsid w:val="00603BA4"/>
    <w:rsid w:val="006131CF"/>
    <w:rsid w:val="006154A4"/>
    <w:rsid w:val="00616902"/>
    <w:rsid w:val="00622374"/>
    <w:rsid w:val="00625259"/>
    <w:rsid w:val="0062545A"/>
    <w:rsid w:val="00626861"/>
    <w:rsid w:val="00626E4F"/>
    <w:rsid w:val="00635276"/>
    <w:rsid w:val="00637C74"/>
    <w:rsid w:val="0064784C"/>
    <w:rsid w:val="00652FAD"/>
    <w:rsid w:val="006534C1"/>
    <w:rsid w:val="006634CC"/>
    <w:rsid w:val="00665AAA"/>
    <w:rsid w:val="00665B97"/>
    <w:rsid w:val="00667176"/>
    <w:rsid w:val="00674B21"/>
    <w:rsid w:val="0068015D"/>
    <w:rsid w:val="00692330"/>
    <w:rsid w:val="006929DA"/>
    <w:rsid w:val="006930E4"/>
    <w:rsid w:val="00694417"/>
    <w:rsid w:val="00694ADA"/>
    <w:rsid w:val="00696A5B"/>
    <w:rsid w:val="006B363E"/>
    <w:rsid w:val="006B3DC3"/>
    <w:rsid w:val="006B4C7A"/>
    <w:rsid w:val="006C52C1"/>
    <w:rsid w:val="006D6147"/>
    <w:rsid w:val="006D65B1"/>
    <w:rsid w:val="006E0C67"/>
    <w:rsid w:val="006E5900"/>
    <w:rsid w:val="006F5FF1"/>
    <w:rsid w:val="00703930"/>
    <w:rsid w:val="00703D00"/>
    <w:rsid w:val="007117A1"/>
    <w:rsid w:val="00721101"/>
    <w:rsid w:val="007241F0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3D1"/>
    <w:rsid w:val="007C74FB"/>
    <w:rsid w:val="007D4FEA"/>
    <w:rsid w:val="007D593D"/>
    <w:rsid w:val="007E5579"/>
    <w:rsid w:val="008013A2"/>
    <w:rsid w:val="0080216F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51482"/>
    <w:rsid w:val="00861360"/>
    <w:rsid w:val="00864D8C"/>
    <w:rsid w:val="00867CA8"/>
    <w:rsid w:val="008744B8"/>
    <w:rsid w:val="00876A2B"/>
    <w:rsid w:val="00883B48"/>
    <w:rsid w:val="008905E2"/>
    <w:rsid w:val="00891EA8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3256"/>
    <w:rsid w:val="009505FD"/>
    <w:rsid w:val="00957F6A"/>
    <w:rsid w:val="00975A03"/>
    <w:rsid w:val="00982607"/>
    <w:rsid w:val="00985D5B"/>
    <w:rsid w:val="00995043"/>
    <w:rsid w:val="00995A7A"/>
    <w:rsid w:val="009A4E11"/>
    <w:rsid w:val="009A4F50"/>
    <w:rsid w:val="009A60BE"/>
    <w:rsid w:val="009A7160"/>
    <w:rsid w:val="009A7443"/>
    <w:rsid w:val="009B7EDD"/>
    <w:rsid w:val="009C3A29"/>
    <w:rsid w:val="009D23B8"/>
    <w:rsid w:val="009D298F"/>
    <w:rsid w:val="009D2ED3"/>
    <w:rsid w:val="009D4CF8"/>
    <w:rsid w:val="009D510E"/>
    <w:rsid w:val="009E0A43"/>
    <w:rsid w:val="009E0B0D"/>
    <w:rsid w:val="009E1D90"/>
    <w:rsid w:val="009E347F"/>
    <w:rsid w:val="009E45EB"/>
    <w:rsid w:val="009F04BF"/>
    <w:rsid w:val="009F1C48"/>
    <w:rsid w:val="00A00256"/>
    <w:rsid w:val="00A16319"/>
    <w:rsid w:val="00A240FB"/>
    <w:rsid w:val="00A25463"/>
    <w:rsid w:val="00A259AD"/>
    <w:rsid w:val="00A27E7B"/>
    <w:rsid w:val="00A35F9F"/>
    <w:rsid w:val="00A370FA"/>
    <w:rsid w:val="00A53304"/>
    <w:rsid w:val="00A60E6A"/>
    <w:rsid w:val="00A61648"/>
    <w:rsid w:val="00A71A31"/>
    <w:rsid w:val="00A76124"/>
    <w:rsid w:val="00A76C05"/>
    <w:rsid w:val="00A774D2"/>
    <w:rsid w:val="00A94F86"/>
    <w:rsid w:val="00AA7F8F"/>
    <w:rsid w:val="00AD600E"/>
    <w:rsid w:val="00AE0292"/>
    <w:rsid w:val="00AE07EE"/>
    <w:rsid w:val="00B0134D"/>
    <w:rsid w:val="00B053E7"/>
    <w:rsid w:val="00B11ED8"/>
    <w:rsid w:val="00B12C23"/>
    <w:rsid w:val="00B1353E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250D"/>
    <w:rsid w:val="00B9592D"/>
    <w:rsid w:val="00BA120F"/>
    <w:rsid w:val="00BD5F83"/>
    <w:rsid w:val="00BE2F4E"/>
    <w:rsid w:val="00BF1362"/>
    <w:rsid w:val="00BF77C4"/>
    <w:rsid w:val="00C07C2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7737A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24AC"/>
    <w:rsid w:val="00CE4C52"/>
    <w:rsid w:val="00CF2A30"/>
    <w:rsid w:val="00CF795A"/>
    <w:rsid w:val="00D22A3B"/>
    <w:rsid w:val="00D24960"/>
    <w:rsid w:val="00D25B96"/>
    <w:rsid w:val="00D32878"/>
    <w:rsid w:val="00D4206A"/>
    <w:rsid w:val="00D44085"/>
    <w:rsid w:val="00D50481"/>
    <w:rsid w:val="00D50C7C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6D01"/>
    <w:rsid w:val="00D87627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C67"/>
    <w:rsid w:val="00E80664"/>
    <w:rsid w:val="00E9222C"/>
    <w:rsid w:val="00E92E36"/>
    <w:rsid w:val="00E93CD6"/>
    <w:rsid w:val="00EA1FB7"/>
    <w:rsid w:val="00EA4BFB"/>
    <w:rsid w:val="00EA6580"/>
    <w:rsid w:val="00EB130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2621A"/>
    <w:rsid w:val="00F326DD"/>
    <w:rsid w:val="00F424B0"/>
    <w:rsid w:val="00F548DF"/>
    <w:rsid w:val="00F62AD1"/>
    <w:rsid w:val="00F72635"/>
    <w:rsid w:val="00F72A39"/>
    <w:rsid w:val="00F77EBA"/>
    <w:rsid w:val="00F85694"/>
    <w:rsid w:val="00F860F9"/>
    <w:rsid w:val="00FA0E3B"/>
    <w:rsid w:val="00FA588E"/>
    <w:rsid w:val="00FB05FA"/>
    <w:rsid w:val="00FB1F29"/>
    <w:rsid w:val="00FB7B67"/>
    <w:rsid w:val="00FD69DD"/>
    <w:rsid w:val="00FE6E69"/>
    <w:rsid w:val="00FF2373"/>
    <w:rsid w:val="00FF337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9F55E9-BD9B-452C-B647-F19F4DB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CF795A"/>
    <w:pPr>
      <w:spacing w:line="240" w:lineRule="auto"/>
      <w:jc w:val="left"/>
    </w:pPr>
    <w:rPr>
      <w:rFonts w:ascii="Courier New" w:eastAsia="Batang" w:hAnsi="Courier New" w:cs="Courier New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CF795A"/>
    <w:rPr>
      <w:rFonts w:ascii="Courier New" w:eastAsia="Batang" w:hAnsi="Courier New" w:cs="Courier New"/>
      <w:sz w:val="2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CF795A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F795A"/>
    <w:rPr>
      <w:rFonts w:ascii="Times New Roman" w:eastAsia="Times New Roman" w:hAnsi="Times New Roman" w:cs="Times New Roman"/>
      <w:b/>
      <w:sz w:val="32"/>
      <w:u w:val="single"/>
      <w:lang w:val="en-IE"/>
    </w:rPr>
  </w:style>
  <w:style w:type="paragraph" w:styleId="Revision">
    <w:name w:val="Revision"/>
    <w:hidden/>
    <w:uiPriority w:val="99"/>
    <w:semiHidden/>
    <w:rsid w:val="0001424F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jpe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ed5d4-381e-4468-a5ad-bda3e7f9d20c" xsi:nil="true"/>
    <lcf76f155ced4ddcb4097134ff3c332f xmlns="22a4996d-c1c9-42c2-9ed9-966cea812be9">
      <Terms xmlns="http://schemas.microsoft.com/office/infopath/2007/PartnerControls"/>
    </lcf76f155ced4ddcb4097134ff3c332f>
    <Comments xmlns="22a4996d-c1c9-42c2-9ed9-966cea812b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0d052f1453d5176a909200ad32a8022b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af67cbbe5501f7d4961b0f37943f8002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c8929a9-4fc4-4b39-bb44-3e1bc75420d2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9E727-FAA5-44FD-A9D6-C8100E63DA82}">
  <ds:schemaRefs>
    <ds:schemaRef ds:uri="http://schemas.microsoft.com/office/2006/metadata/properties"/>
    <ds:schemaRef ds:uri="http://schemas.microsoft.com/office/infopath/2007/PartnerControls"/>
    <ds:schemaRef ds:uri="123ed5d4-381e-4468-a5ad-bda3e7f9d20c"/>
    <ds:schemaRef ds:uri="22a4996d-c1c9-42c2-9ed9-966cea812be9"/>
  </ds:schemaRefs>
</ds:datastoreItem>
</file>

<file path=customXml/itemProps2.xml><?xml version="1.0" encoding="utf-8"?>
<ds:datastoreItem xmlns:ds="http://schemas.openxmlformats.org/officeDocument/2006/customXml" ds:itemID="{A0AB3594-C881-4FA2-ADC7-7197739F1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672E2-CAEC-4F7A-B9BC-DF1EE0B5E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A2700-185E-4BF2-9053-14EBD62EE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Ffion James-deane</cp:lastModifiedBy>
  <cp:revision>3</cp:revision>
  <cp:lastPrinted>2015-08-26T11:17:00Z</cp:lastPrinted>
  <dcterms:created xsi:type="dcterms:W3CDTF">2024-05-16T10:37:00Z</dcterms:created>
  <dcterms:modified xsi:type="dcterms:W3CDTF">2024-05-22T07:35:00Z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