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56747" w14:textId="1E2A5B79" w:rsidR="00D33F62" w:rsidRDefault="00D54F30">
      <w:pPr>
        <w:pBdr>
          <w:top w:val="nil"/>
          <w:left w:val="nil"/>
          <w:bottom w:val="nil"/>
          <w:right w:val="nil"/>
          <w:between w:val="nil"/>
        </w:pBdr>
        <w:spacing w:line="240" w:lineRule="auto"/>
        <w:ind w:left="720" w:right="-144"/>
        <w:jc w:val="right"/>
        <w:rPr>
          <w:b/>
          <w:color w:val="FFFFFF"/>
          <w:sz w:val="22"/>
          <w:szCs w:val="22"/>
        </w:rPr>
      </w:pPr>
      <w:r>
        <w:rPr>
          <w:noProof/>
          <w:color w:val="000000"/>
        </w:rPr>
        <w:drawing>
          <wp:anchor distT="0" distB="0" distL="0" distR="0" simplePos="0" relativeHeight="251658240" behindDoc="1" locked="0" layoutInCell="1" hidden="0" allowOverlap="1" wp14:anchorId="1DF567A8" wp14:editId="1DF567A9">
            <wp:simplePos x="0" y="0"/>
            <wp:positionH relativeFrom="page">
              <wp:posOffset>-4889</wp:posOffset>
            </wp:positionH>
            <wp:positionV relativeFrom="page">
              <wp:align>top</wp:align>
            </wp:positionV>
            <wp:extent cx="7687690" cy="1160406"/>
            <wp:effectExtent l="0" t="0" r="0" b="0"/>
            <wp:wrapNone/>
            <wp:docPr id="1" name="image1.png" descr="SU header Waves"/>
            <wp:cNvGraphicFramePr/>
            <a:graphic xmlns:a="http://schemas.openxmlformats.org/drawingml/2006/main">
              <a:graphicData uri="http://schemas.openxmlformats.org/drawingml/2006/picture">
                <pic:pic xmlns:pic="http://schemas.openxmlformats.org/drawingml/2006/picture">
                  <pic:nvPicPr>
                    <pic:cNvPr id="0" name="image1.png" descr="SU header Waves"/>
                    <pic:cNvPicPr preferRelativeResize="0"/>
                  </pic:nvPicPr>
                  <pic:blipFill>
                    <a:blip r:embed="rId8"/>
                    <a:srcRect/>
                    <a:stretch>
                      <a:fillRect/>
                    </a:stretch>
                  </pic:blipFill>
                  <pic:spPr>
                    <a:xfrm>
                      <a:off x="0" y="0"/>
                      <a:ext cx="7687690" cy="1160406"/>
                    </a:xfrm>
                    <a:prstGeom prst="rect">
                      <a:avLst/>
                    </a:prstGeom>
                    <a:ln/>
                  </pic:spPr>
                </pic:pic>
              </a:graphicData>
            </a:graphic>
          </wp:anchor>
        </w:drawing>
      </w:r>
      <w:r>
        <w:rPr>
          <w:color w:val="000000"/>
        </w:rPr>
        <w:t xml:space="preserve"> </w:t>
      </w:r>
      <w:r>
        <w:rPr>
          <w:color w:val="000000"/>
        </w:rPr>
        <w:tab/>
      </w:r>
    </w:p>
    <w:p w14:paraId="1DF56748" w14:textId="77777777" w:rsidR="00D33F62" w:rsidRDefault="00D33F62">
      <w:pPr>
        <w:pBdr>
          <w:top w:val="nil"/>
          <w:left w:val="nil"/>
          <w:bottom w:val="nil"/>
          <w:right w:val="nil"/>
          <w:between w:val="nil"/>
        </w:pBdr>
        <w:spacing w:line="240" w:lineRule="auto"/>
        <w:jc w:val="center"/>
        <w:rPr>
          <w:color w:val="000000"/>
          <w:sz w:val="22"/>
          <w:szCs w:val="22"/>
        </w:rPr>
      </w:pPr>
    </w:p>
    <w:p w14:paraId="1DF56749" w14:textId="77777777" w:rsidR="00D33F62" w:rsidRDefault="00D33F62">
      <w:pPr>
        <w:pBdr>
          <w:top w:val="nil"/>
          <w:left w:val="nil"/>
          <w:bottom w:val="nil"/>
          <w:right w:val="nil"/>
          <w:between w:val="nil"/>
        </w:pBdr>
        <w:spacing w:line="240" w:lineRule="auto"/>
        <w:jc w:val="center"/>
        <w:rPr>
          <w:b/>
          <w:color w:val="000000"/>
          <w:sz w:val="28"/>
          <w:szCs w:val="28"/>
        </w:rPr>
      </w:pPr>
    </w:p>
    <w:p w14:paraId="1DF5674A" w14:textId="77777777" w:rsidR="00D33F62" w:rsidRDefault="00D33F62">
      <w:pPr>
        <w:pBdr>
          <w:top w:val="nil"/>
          <w:left w:val="nil"/>
          <w:bottom w:val="nil"/>
          <w:right w:val="nil"/>
          <w:between w:val="nil"/>
        </w:pBdr>
        <w:spacing w:line="240" w:lineRule="auto"/>
        <w:jc w:val="center"/>
        <w:rPr>
          <w:b/>
          <w:color w:val="000000"/>
          <w:sz w:val="28"/>
          <w:szCs w:val="28"/>
        </w:rPr>
      </w:pPr>
      <w:bookmarkStart w:id="0" w:name="_gjdgxs" w:colFirst="0" w:colLast="0"/>
      <w:bookmarkEnd w:id="0"/>
    </w:p>
    <w:p w14:paraId="1DF5674B" w14:textId="77777777" w:rsidR="00D33F62" w:rsidRDefault="00D54F30">
      <w:pPr>
        <w:pBdr>
          <w:top w:val="nil"/>
          <w:left w:val="nil"/>
          <w:bottom w:val="nil"/>
          <w:right w:val="nil"/>
          <w:between w:val="nil"/>
        </w:pBdr>
        <w:spacing w:line="240" w:lineRule="auto"/>
        <w:jc w:val="center"/>
        <w:rPr>
          <w:rFonts w:ascii="Calibri" w:eastAsia="Calibri" w:hAnsi="Calibri" w:cs="Calibri"/>
          <w:b/>
          <w:color w:val="000000"/>
          <w:sz w:val="32"/>
          <w:szCs w:val="32"/>
          <w:u w:val="single"/>
        </w:rPr>
      </w:pPr>
      <w:r>
        <w:rPr>
          <w:rFonts w:ascii="Calibri" w:eastAsia="Calibri" w:hAnsi="Calibri" w:cs="Calibri"/>
          <w:b/>
          <w:color w:val="000000"/>
          <w:sz w:val="32"/>
          <w:szCs w:val="32"/>
          <w:u w:val="single"/>
        </w:rPr>
        <w:t>Job Description: Admissions Adviser</w:t>
      </w:r>
    </w:p>
    <w:p w14:paraId="1DF5674C" w14:textId="77777777" w:rsidR="00D33F62" w:rsidRDefault="00D33F62">
      <w:pPr>
        <w:pBdr>
          <w:top w:val="nil"/>
          <w:left w:val="nil"/>
          <w:bottom w:val="nil"/>
          <w:right w:val="nil"/>
          <w:between w:val="nil"/>
        </w:pBdr>
        <w:spacing w:line="240" w:lineRule="auto"/>
        <w:jc w:val="left"/>
        <w:rPr>
          <w:rFonts w:ascii="Calibri" w:eastAsia="Calibri" w:hAnsi="Calibri" w:cs="Calibri"/>
          <w:b/>
          <w:color w:val="000000"/>
          <w:sz w:val="22"/>
          <w:szCs w:val="22"/>
        </w:rPr>
      </w:pPr>
    </w:p>
    <w:tbl>
      <w:tblPr>
        <w:tblStyle w:val="2"/>
        <w:tblW w:w="192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8364"/>
        <w:gridCol w:w="8364"/>
      </w:tblGrid>
      <w:tr w:rsidR="00D33F62" w14:paraId="1DF5674F" w14:textId="77777777" w:rsidTr="00BF15A6">
        <w:trPr>
          <w:gridAfter w:val="1"/>
          <w:wAfter w:w="8364" w:type="dxa"/>
        </w:trPr>
        <w:tc>
          <w:tcPr>
            <w:tcW w:w="2552" w:type="dxa"/>
            <w:shd w:val="clear" w:color="auto" w:fill="366091"/>
          </w:tcPr>
          <w:p w14:paraId="1DF5674D" w14:textId="77777777" w:rsidR="00D33F62" w:rsidRDefault="00D54F30">
            <w:pPr>
              <w:pBdr>
                <w:top w:val="nil"/>
                <w:left w:val="nil"/>
                <w:bottom w:val="nil"/>
                <w:right w:val="nil"/>
                <w:between w:val="nil"/>
              </w:pBdr>
              <w:rPr>
                <w:rFonts w:ascii="Calibri" w:eastAsia="Calibri" w:hAnsi="Calibri" w:cs="Calibri"/>
                <w:b/>
                <w:color w:val="FFFFFF"/>
                <w:sz w:val="22"/>
                <w:szCs w:val="22"/>
              </w:rPr>
            </w:pPr>
            <w:r>
              <w:rPr>
                <w:rFonts w:ascii="Calibri" w:eastAsia="Calibri" w:hAnsi="Calibri" w:cs="Calibri"/>
                <w:b/>
                <w:color w:val="FFFFFF"/>
                <w:sz w:val="22"/>
                <w:szCs w:val="22"/>
              </w:rPr>
              <w:t>College/School:</w:t>
            </w:r>
          </w:p>
        </w:tc>
        <w:tc>
          <w:tcPr>
            <w:tcW w:w="8364" w:type="dxa"/>
          </w:tcPr>
          <w:p w14:paraId="1DF5674E" w14:textId="24C37DD0" w:rsidR="00D33F62" w:rsidRDefault="0014678A">
            <w:pPr>
              <w:pBdr>
                <w:top w:val="nil"/>
                <w:left w:val="nil"/>
                <w:bottom w:val="nil"/>
                <w:right w:val="nil"/>
                <w:between w:val="nil"/>
              </w:pBdr>
              <w:rPr>
                <w:rFonts w:ascii="Calibri" w:eastAsia="Calibri" w:hAnsi="Calibri" w:cs="Calibri"/>
                <w:i/>
                <w:sz w:val="22"/>
                <w:szCs w:val="22"/>
              </w:rPr>
            </w:pPr>
            <w:r>
              <w:rPr>
                <w:rFonts w:ascii="Calibri" w:eastAsia="Calibri" w:hAnsi="Calibri" w:cs="Calibri"/>
                <w:i/>
                <w:color w:val="auto"/>
                <w:sz w:val="22"/>
                <w:szCs w:val="22"/>
              </w:rPr>
              <w:t>Admissions Office, M</w:t>
            </w:r>
            <w:r w:rsidR="00D54F30">
              <w:rPr>
                <w:rFonts w:ascii="Calibri" w:eastAsia="Calibri" w:hAnsi="Calibri" w:cs="Calibri"/>
                <w:i/>
                <w:sz w:val="22"/>
                <w:szCs w:val="22"/>
              </w:rPr>
              <w:t>arketing, Recruitment &amp; International</w:t>
            </w:r>
          </w:p>
        </w:tc>
      </w:tr>
      <w:tr w:rsidR="00D33F62" w14:paraId="1DF56752" w14:textId="77777777" w:rsidTr="00BF15A6">
        <w:trPr>
          <w:gridAfter w:val="1"/>
          <w:wAfter w:w="8364" w:type="dxa"/>
        </w:trPr>
        <w:tc>
          <w:tcPr>
            <w:tcW w:w="2552" w:type="dxa"/>
            <w:shd w:val="clear" w:color="auto" w:fill="366091"/>
          </w:tcPr>
          <w:p w14:paraId="1DF56750" w14:textId="77777777" w:rsidR="00D33F62" w:rsidRDefault="00D54F30">
            <w:pPr>
              <w:pBdr>
                <w:top w:val="nil"/>
                <w:left w:val="nil"/>
                <w:bottom w:val="nil"/>
                <w:right w:val="nil"/>
                <w:between w:val="nil"/>
              </w:pBdr>
              <w:rPr>
                <w:rFonts w:ascii="Calibri" w:eastAsia="Calibri" w:hAnsi="Calibri" w:cs="Calibri"/>
                <w:b/>
                <w:color w:val="FFFFFF"/>
                <w:sz w:val="22"/>
                <w:szCs w:val="22"/>
              </w:rPr>
            </w:pPr>
            <w:r>
              <w:rPr>
                <w:rFonts w:ascii="Calibri" w:eastAsia="Calibri" w:hAnsi="Calibri" w:cs="Calibri"/>
                <w:b/>
                <w:color w:val="FFFFFF"/>
                <w:sz w:val="22"/>
                <w:szCs w:val="22"/>
              </w:rPr>
              <w:t>Job Title:</w:t>
            </w:r>
          </w:p>
        </w:tc>
        <w:tc>
          <w:tcPr>
            <w:tcW w:w="8364" w:type="dxa"/>
          </w:tcPr>
          <w:p w14:paraId="1DF56751" w14:textId="75B5845D" w:rsidR="00D33F62" w:rsidRDefault="00D54F30">
            <w:pPr>
              <w:pBdr>
                <w:top w:val="nil"/>
                <w:left w:val="nil"/>
                <w:bottom w:val="nil"/>
                <w:right w:val="nil"/>
                <w:between w:val="nil"/>
              </w:pBdr>
              <w:rPr>
                <w:rFonts w:ascii="Calibri" w:eastAsia="Calibri" w:hAnsi="Calibri" w:cs="Calibri"/>
                <w:i/>
                <w:sz w:val="22"/>
                <w:szCs w:val="22"/>
              </w:rPr>
            </w:pPr>
            <w:r>
              <w:rPr>
                <w:rFonts w:ascii="Calibri" w:eastAsia="Calibri" w:hAnsi="Calibri" w:cs="Calibri"/>
                <w:i/>
                <w:sz w:val="22"/>
                <w:szCs w:val="22"/>
              </w:rPr>
              <w:t>Admissions Adviser</w:t>
            </w:r>
            <w:r w:rsidR="003D29FC">
              <w:rPr>
                <w:rFonts w:ascii="Calibri" w:eastAsia="Calibri" w:hAnsi="Calibri" w:cs="Calibri"/>
                <w:i/>
                <w:sz w:val="22"/>
                <w:szCs w:val="22"/>
              </w:rPr>
              <w:t xml:space="preserve"> </w:t>
            </w:r>
          </w:p>
        </w:tc>
      </w:tr>
      <w:tr w:rsidR="00D33F62" w14:paraId="1DF56755" w14:textId="77777777" w:rsidTr="00BF15A6">
        <w:trPr>
          <w:gridAfter w:val="1"/>
          <w:wAfter w:w="8364" w:type="dxa"/>
        </w:trPr>
        <w:tc>
          <w:tcPr>
            <w:tcW w:w="2552" w:type="dxa"/>
            <w:shd w:val="clear" w:color="auto" w:fill="366091"/>
          </w:tcPr>
          <w:p w14:paraId="1DF56753" w14:textId="77777777" w:rsidR="00D33F62" w:rsidRDefault="00D54F30">
            <w:pPr>
              <w:pBdr>
                <w:top w:val="nil"/>
                <w:left w:val="nil"/>
                <w:bottom w:val="nil"/>
                <w:right w:val="nil"/>
                <w:between w:val="nil"/>
              </w:pBdr>
              <w:rPr>
                <w:rFonts w:ascii="Calibri" w:eastAsia="Calibri" w:hAnsi="Calibri" w:cs="Calibri"/>
                <w:b/>
                <w:color w:val="FFFFFF"/>
                <w:sz w:val="22"/>
                <w:szCs w:val="22"/>
              </w:rPr>
            </w:pPr>
            <w:r>
              <w:rPr>
                <w:rFonts w:ascii="Calibri" w:eastAsia="Calibri" w:hAnsi="Calibri" w:cs="Calibri"/>
                <w:b/>
                <w:color w:val="FFFFFF"/>
                <w:sz w:val="22"/>
                <w:szCs w:val="22"/>
              </w:rPr>
              <w:t>Department/Subject:</w:t>
            </w:r>
          </w:p>
        </w:tc>
        <w:tc>
          <w:tcPr>
            <w:tcW w:w="8364" w:type="dxa"/>
          </w:tcPr>
          <w:p w14:paraId="1DF56754" w14:textId="77777777" w:rsidR="00D33F62" w:rsidRDefault="00D54F30">
            <w:pPr>
              <w:pBdr>
                <w:top w:val="nil"/>
                <w:left w:val="nil"/>
                <w:bottom w:val="nil"/>
                <w:right w:val="nil"/>
                <w:between w:val="nil"/>
              </w:pBdr>
              <w:rPr>
                <w:rFonts w:ascii="Calibri" w:eastAsia="Calibri" w:hAnsi="Calibri" w:cs="Calibri"/>
                <w:i/>
                <w:sz w:val="22"/>
                <w:szCs w:val="22"/>
              </w:rPr>
            </w:pPr>
            <w:r>
              <w:rPr>
                <w:rFonts w:ascii="Calibri" w:eastAsia="Calibri" w:hAnsi="Calibri" w:cs="Calibri"/>
                <w:i/>
                <w:sz w:val="22"/>
                <w:szCs w:val="22"/>
              </w:rPr>
              <w:t>Admissions</w:t>
            </w:r>
          </w:p>
        </w:tc>
      </w:tr>
      <w:tr w:rsidR="007C6A26" w14:paraId="1DF56758" w14:textId="77777777" w:rsidTr="00BF15A6">
        <w:trPr>
          <w:gridAfter w:val="1"/>
          <w:wAfter w:w="8364" w:type="dxa"/>
        </w:trPr>
        <w:tc>
          <w:tcPr>
            <w:tcW w:w="2552" w:type="dxa"/>
            <w:shd w:val="clear" w:color="auto" w:fill="366091"/>
          </w:tcPr>
          <w:p w14:paraId="1DF56756" w14:textId="77777777" w:rsidR="007C6A26" w:rsidRDefault="007C6A26" w:rsidP="007C6A26">
            <w:pPr>
              <w:pBdr>
                <w:top w:val="nil"/>
                <w:left w:val="nil"/>
                <w:bottom w:val="nil"/>
                <w:right w:val="nil"/>
                <w:between w:val="nil"/>
              </w:pBdr>
              <w:rPr>
                <w:rFonts w:ascii="Calibri" w:eastAsia="Calibri" w:hAnsi="Calibri" w:cs="Calibri"/>
                <w:b/>
                <w:color w:val="FFFFFF"/>
                <w:sz w:val="22"/>
                <w:szCs w:val="22"/>
              </w:rPr>
            </w:pPr>
            <w:r>
              <w:rPr>
                <w:rFonts w:ascii="Calibri" w:eastAsia="Calibri" w:hAnsi="Calibri" w:cs="Calibri"/>
                <w:b/>
                <w:color w:val="FFFFFF"/>
                <w:sz w:val="22"/>
                <w:szCs w:val="22"/>
              </w:rPr>
              <w:t>Salary:</w:t>
            </w:r>
          </w:p>
        </w:tc>
        <w:tc>
          <w:tcPr>
            <w:tcW w:w="8364" w:type="dxa"/>
          </w:tcPr>
          <w:p w14:paraId="1DF56757" w14:textId="6679BADC" w:rsidR="007C6A26" w:rsidRDefault="007C6A26" w:rsidP="007C6A26">
            <w:pPr>
              <w:pBdr>
                <w:top w:val="nil"/>
                <w:left w:val="nil"/>
                <w:bottom w:val="nil"/>
                <w:right w:val="nil"/>
                <w:between w:val="nil"/>
              </w:pBdr>
              <w:rPr>
                <w:rFonts w:ascii="Calibri" w:eastAsia="Calibri" w:hAnsi="Calibri" w:cs="Calibri"/>
                <w:sz w:val="22"/>
                <w:szCs w:val="22"/>
              </w:rPr>
            </w:pPr>
            <w:r>
              <w:rPr>
                <w:rFonts w:asciiTheme="minorHAnsi" w:hAnsiTheme="minorHAnsi"/>
                <w:i/>
                <w:sz w:val="22"/>
              </w:rPr>
              <w:t xml:space="preserve">Grade 5 </w:t>
            </w:r>
            <w:r w:rsidR="00BF15A6">
              <w:rPr>
                <w:rFonts w:asciiTheme="minorHAnsi" w:hAnsiTheme="minorHAnsi"/>
                <w:i/>
                <w:sz w:val="22"/>
              </w:rPr>
              <w:t>£2</w:t>
            </w:r>
            <w:r w:rsidR="00C664C8">
              <w:rPr>
                <w:rFonts w:asciiTheme="minorHAnsi" w:hAnsiTheme="minorHAnsi"/>
                <w:i/>
                <w:sz w:val="22"/>
              </w:rPr>
              <w:t>6,038</w:t>
            </w:r>
            <w:r w:rsidR="00BF15A6">
              <w:rPr>
                <w:rFonts w:asciiTheme="minorHAnsi" w:hAnsiTheme="minorHAnsi"/>
                <w:i/>
                <w:sz w:val="22"/>
              </w:rPr>
              <w:t xml:space="preserve"> - £2</w:t>
            </w:r>
            <w:r w:rsidR="00C664C8">
              <w:rPr>
                <w:rFonts w:asciiTheme="minorHAnsi" w:hAnsiTheme="minorHAnsi"/>
                <w:i/>
                <w:sz w:val="22"/>
              </w:rPr>
              <w:t>8</w:t>
            </w:r>
            <w:r w:rsidR="00043117">
              <w:rPr>
                <w:rFonts w:asciiTheme="minorHAnsi" w:hAnsiTheme="minorHAnsi"/>
                <w:i/>
                <w:sz w:val="22"/>
              </w:rPr>
              <w:t>,</w:t>
            </w:r>
            <w:r w:rsidR="00C664C8">
              <w:rPr>
                <w:rFonts w:asciiTheme="minorHAnsi" w:hAnsiTheme="minorHAnsi"/>
                <w:i/>
                <w:sz w:val="22"/>
              </w:rPr>
              <w:t>8</w:t>
            </w:r>
            <w:r w:rsidR="00043117">
              <w:rPr>
                <w:rFonts w:asciiTheme="minorHAnsi" w:hAnsiTheme="minorHAnsi"/>
                <w:i/>
                <w:sz w:val="22"/>
              </w:rPr>
              <w:t>79</w:t>
            </w:r>
            <w:r w:rsidR="00BF15A6">
              <w:rPr>
                <w:rFonts w:asciiTheme="minorHAnsi" w:hAnsiTheme="minorHAnsi"/>
                <w:i/>
                <w:sz w:val="22"/>
              </w:rPr>
              <w:t xml:space="preserve"> p</w:t>
            </w:r>
            <w:r>
              <w:rPr>
                <w:rFonts w:asciiTheme="minorHAnsi" w:hAnsiTheme="minorHAnsi"/>
                <w:i/>
                <w:sz w:val="22"/>
              </w:rPr>
              <w:t>er annum</w:t>
            </w:r>
          </w:p>
        </w:tc>
      </w:tr>
      <w:tr w:rsidR="007C6A26" w14:paraId="1DF5675B" w14:textId="77777777" w:rsidTr="00121CCE">
        <w:trPr>
          <w:gridAfter w:val="1"/>
          <w:wAfter w:w="8364" w:type="dxa"/>
          <w:trHeight w:val="305"/>
        </w:trPr>
        <w:tc>
          <w:tcPr>
            <w:tcW w:w="2552" w:type="dxa"/>
            <w:shd w:val="clear" w:color="auto" w:fill="366091"/>
          </w:tcPr>
          <w:p w14:paraId="1DF56759" w14:textId="77777777" w:rsidR="007C6A26" w:rsidRDefault="007C6A26" w:rsidP="007C6A26">
            <w:pPr>
              <w:pBdr>
                <w:top w:val="nil"/>
                <w:left w:val="nil"/>
                <w:bottom w:val="nil"/>
                <w:right w:val="nil"/>
                <w:between w:val="nil"/>
              </w:pBdr>
              <w:rPr>
                <w:rFonts w:ascii="Calibri" w:eastAsia="Calibri" w:hAnsi="Calibri" w:cs="Calibri"/>
                <w:b/>
                <w:color w:val="FFFFFF"/>
                <w:sz w:val="22"/>
                <w:szCs w:val="22"/>
              </w:rPr>
            </w:pPr>
            <w:r>
              <w:rPr>
                <w:rFonts w:ascii="Calibri" w:eastAsia="Calibri" w:hAnsi="Calibri" w:cs="Calibri"/>
                <w:b/>
                <w:color w:val="FFFFFF"/>
                <w:sz w:val="22"/>
                <w:szCs w:val="22"/>
              </w:rPr>
              <w:t>Hours of work:</w:t>
            </w:r>
          </w:p>
        </w:tc>
        <w:tc>
          <w:tcPr>
            <w:tcW w:w="8364" w:type="dxa"/>
          </w:tcPr>
          <w:p w14:paraId="1DF5675A" w14:textId="2BB5D374" w:rsidR="007C6A26" w:rsidRDefault="00CC1624" w:rsidP="007C6A26">
            <w:pPr>
              <w:pBdr>
                <w:top w:val="nil"/>
                <w:left w:val="nil"/>
                <w:bottom w:val="nil"/>
                <w:right w:val="nil"/>
                <w:between w:val="nil"/>
              </w:pBdr>
              <w:rPr>
                <w:rFonts w:ascii="Calibri" w:eastAsia="Calibri" w:hAnsi="Calibri" w:cs="Calibri"/>
                <w:sz w:val="22"/>
                <w:szCs w:val="22"/>
              </w:rPr>
            </w:pPr>
            <w:r>
              <w:rPr>
                <w:rFonts w:ascii="Calibri" w:eastAsia="Calibri" w:hAnsi="Calibri" w:cs="Calibri"/>
                <w:i/>
                <w:sz w:val="22"/>
                <w:szCs w:val="22"/>
              </w:rPr>
              <w:t>35</w:t>
            </w:r>
            <w:r w:rsidR="009E77FD">
              <w:rPr>
                <w:rFonts w:ascii="Calibri" w:eastAsia="Calibri" w:hAnsi="Calibri" w:cs="Calibri"/>
                <w:i/>
                <w:sz w:val="22"/>
                <w:szCs w:val="22"/>
              </w:rPr>
              <w:t xml:space="preserve"> </w:t>
            </w:r>
            <w:r w:rsidR="007C6A26">
              <w:rPr>
                <w:rFonts w:ascii="Calibri" w:eastAsia="Calibri" w:hAnsi="Calibri" w:cs="Calibri"/>
                <w:i/>
                <w:sz w:val="22"/>
                <w:szCs w:val="22"/>
              </w:rPr>
              <w:t>hours per week</w:t>
            </w:r>
          </w:p>
        </w:tc>
      </w:tr>
      <w:tr w:rsidR="00867F67" w14:paraId="6122CDAE" w14:textId="77777777" w:rsidTr="00BF15A6">
        <w:tc>
          <w:tcPr>
            <w:tcW w:w="2552" w:type="dxa"/>
            <w:shd w:val="clear" w:color="auto" w:fill="366091"/>
          </w:tcPr>
          <w:p w14:paraId="2AD570AD" w14:textId="24EE6F28" w:rsidR="00867F67" w:rsidRDefault="00867F67" w:rsidP="00BF15A6">
            <w:pPr>
              <w:pBdr>
                <w:top w:val="nil"/>
                <w:left w:val="nil"/>
                <w:bottom w:val="nil"/>
                <w:right w:val="nil"/>
                <w:between w:val="nil"/>
              </w:pBdr>
              <w:rPr>
                <w:rFonts w:ascii="Calibri" w:eastAsia="Calibri" w:hAnsi="Calibri" w:cs="Calibri"/>
                <w:b/>
                <w:color w:val="FFFFFF"/>
                <w:sz w:val="22"/>
                <w:szCs w:val="22"/>
              </w:rPr>
            </w:pPr>
            <w:r>
              <w:rPr>
                <w:rFonts w:ascii="Calibri" w:eastAsia="Calibri" w:hAnsi="Calibri" w:cs="Calibri"/>
                <w:b/>
                <w:color w:val="FFFFFF"/>
                <w:sz w:val="22"/>
                <w:szCs w:val="22"/>
              </w:rPr>
              <w:t>Number of positions:</w:t>
            </w:r>
          </w:p>
        </w:tc>
        <w:tc>
          <w:tcPr>
            <w:tcW w:w="8364" w:type="dxa"/>
          </w:tcPr>
          <w:p w14:paraId="59506B4C" w14:textId="6A2B0947" w:rsidR="00867F67" w:rsidRDefault="00867F67" w:rsidP="00BF15A6">
            <w:pPr>
              <w:rPr>
                <w:rFonts w:ascii="Calibri" w:eastAsia="Calibri" w:hAnsi="Calibri" w:cs="Calibri"/>
                <w:bCs/>
                <w:sz w:val="22"/>
                <w:szCs w:val="22"/>
              </w:rPr>
            </w:pPr>
            <w:r>
              <w:rPr>
                <w:rFonts w:ascii="Calibri" w:eastAsia="Calibri" w:hAnsi="Calibri" w:cs="Calibri"/>
                <w:bCs/>
                <w:sz w:val="22"/>
                <w:szCs w:val="22"/>
              </w:rPr>
              <w:t>2</w:t>
            </w:r>
          </w:p>
        </w:tc>
        <w:tc>
          <w:tcPr>
            <w:tcW w:w="8364" w:type="dxa"/>
          </w:tcPr>
          <w:p w14:paraId="7D312343" w14:textId="77777777" w:rsidR="00867F67" w:rsidRDefault="00867F67" w:rsidP="00BF15A6"/>
        </w:tc>
      </w:tr>
      <w:tr w:rsidR="00BF15A6" w14:paraId="1DF5675E" w14:textId="6682D854" w:rsidTr="00BF15A6">
        <w:tc>
          <w:tcPr>
            <w:tcW w:w="2552" w:type="dxa"/>
            <w:shd w:val="clear" w:color="auto" w:fill="366091"/>
          </w:tcPr>
          <w:p w14:paraId="1DF5675C" w14:textId="132411AD" w:rsidR="00BF15A6" w:rsidRDefault="00BF15A6" w:rsidP="00BF15A6">
            <w:pPr>
              <w:pBdr>
                <w:top w:val="nil"/>
                <w:left w:val="nil"/>
                <w:bottom w:val="nil"/>
                <w:right w:val="nil"/>
                <w:between w:val="nil"/>
              </w:pBdr>
              <w:rPr>
                <w:rFonts w:ascii="Calibri" w:eastAsia="Calibri" w:hAnsi="Calibri" w:cs="Calibri"/>
                <w:b/>
                <w:color w:val="FFFFFF"/>
                <w:sz w:val="22"/>
                <w:szCs w:val="22"/>
              </w:rPr>
            </w:pPr>
            <w:r>
              <w:rPr>
                <w:rFonts w:ascii="Calibri" w:eastAsia="Calibri" w:hAnsi="Calibri" w:cs="Calibri"/>
                <w:b/>
                <w:color w:val="FFFFFF"/>
                <w:sz w:val="22"/>
                <w:szCs w:val="22"/>
              </w:rPr>
              <w:t xml:space="preserve">Contract: </w:t>
            </w:r>
          </w:p>
        </w:tc>
        <w:tc>
          <w:tcPr>
            <w:tcW w:w="8364" w:type="dxa"/>
          </w:tcPr>
          <w:p w14:paraId="44B1F4DE" w14:textId="4E0A873A" w:rsidR="00BF15A6" w:rsidRPr="00BF15A6" w:rsidRDefault="003D29FC" w:rsidP="00BF15A6">
            <w:pPr>
              <w:rPr>
                <w:bCs/>
                <w:color w:val="auto"/>
              </w:rPr>
            </w:pPr>
            <w:r>
              <w:rPr>
                <w:rFonts w:ascii="Calibri" w:eastAsia="Calibri" w:hAnsi="Calibri" w:cs="Calibri"/>
                <w:bCs/>
                <w:color w:val="auto"/>
                <w:sz w:val="22"/>
                <w:szCs w:val="22"/>
              </w:rPr>
              <w:t>Fixed Term</w:t>
            </w:r>
            <w:r w:rsidR="00121CCE">
              <w:rPr>
                <w:rFonts w:ascii="Calibri" w:eastAsia="Calibri" w:hAnsi="Calibri" w:cs="Calibri"/>
                <w:bCs/>
                <w:color w:val="auto"/>
                <w:sz w:val="22"/>
                <w:szCs w:val="22"/>
              </w:rPr>
              <w:t xml:space="preserve"> </w:t>
            </w:r>
          </w:p>
        </w:tc>
        <w:tc>
          <w:tcPr>
            <w:tcW w:w="8364" w:type="dxa"/>
          </w:tcPr>
          <w:p w14:paraId="7A0BC721" w14:textId="415B4E58" w:rsidR="00BF15A6" w:rsidRDefault="00BF15A6" w:rsidP="00BF15A6"/>
        </w:tc>
      </w:tr>
      <w:tr w:rsidR="00BF15A6" w14:paraId="1DF56761" w14:textId="77777777" w:rsidTr="00BF15A6">
        <w:trPr>
          <w:gridAfter w:val="1"/>
          <w:wAfter w:w="8364" w:type="dxa"/>
        </w:trPr>
        <w:tc>
          <w:tcPr>
            <w:tcW w:w="2552" w:type="dxa"/>
            <w:shd w:val="clear" w:color="auto" w:fill="366091"/>
          </w:tcPr>
          <w:p w14:paraId="1DF5675F" w14:textId="09A60780" w:rsidR="00BF15A6" w:rsidRDefault="00BF15A6" w:rsidP="00BF15A6">
            <w:pPr>
              <w:pBdr>
                <w:top w:val="nil"/>
                <w:left w:val="nil"/>
                <w:bottom w:val="nil"/>
                <w:right w:val="nil"/>
                <w:between w:val="nil"/>
              </w:pBdr>
              <w:rPr>
                <w:rFonts w:ascii="Calibri" w:eastAsia="Calibri" w:hAnsi="Calibri" w:cs="Calibri"/>
                <w:b/>
                <w:color w:val="FFFFFF"/>
                <w:sz w:val="22"/>
                <w:szCs w:val="22"/>
              </w:rPr>
            </w:pPr>
            <w:r>
              <w:rPr>
                <w:rFonts w:ascii="Calibri" w:eastAsia="Calibri" w:hAnsi="Calibri" w:cs="Calibri"/>
                <w:b/>
                <w:color w:val="FFFFFF"/>
                <w:sz w:val="22"/>
                <w:szCs w:val="22"/>
              </w:rPr>
              <w:t>Location:</w:t>
            </w:r>
          </w:p>
        </w:tc>
        <w:tc>
          <w:tcPr>
            <w:tcW w:w="8364" w:type="dxa"/>
          </w:tcPr>
          <w:p w14:paraId="1DF56760" w14:textId="77777777" w:rsidR="00BF15A6" w:rsidRDefault="00BF15A6" w:rsidP="00BF15A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This position will be based at the Singleton Campus</w:t>
            </w:r>
          </w:p>
        </w:tc>
      </w:tr>
    </w:tbl>
    <w:p w14:paraId="1DF56762" w14:textId="77777777" w:rsidR="00D33F62" w:rsidRDefault="00D33F62">
      <w:pPr>
        <w:rPr>
          <w:rFonts w:ascii="Calibri" w:eastAsia="Calibri" w:hAnsi="Calibri" w:cs="Calibri"/>
          <w:sz w:val="22"/>
          <w:szCs w:val="22"/>
        </w:rPr>
      </w:pPr>
    </w:p>
    <w:tbl>
      <w:tblPr>
        <w:tblStyle w:val="1"/>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9356"/>
      </w:tblGrid>
      <w:tr w:rsidR="00D33F62" w14:paraId="1DF56765" w14:textId="77777777">
        <w:tc>
          <w:tcPr>
            <w:tcW w:w="1560" w:type="dxa"/>
            <w:shd w:val="clear" w:color="auto" w:fill="366091"/>
            <w:vAlign w:val="center"/>
          </w:tcPr>
          <w:p w14:paraId="1DF56763" w14:textId="77777777" w:rsidR="00D33F62" w:rsidRDefault="00D54F30">
            <w:pPr>
              <w:jc w:val="left"/>
              <w:rPr>
                <w:rFonts w:ascii="Calibri" w:eastAsia="Calibri" w:hAnsi="Calibri" w:cs="Calibri"/>
                <w:b/>
                <w:color w:val="FFFFFF"/>
              </w:rPr>
            </w:pPr>
            <w:r>
              <w:rPr>
                <w:rFonts w:ascii="Calibri" w:eastAsia="Calibri" w:hAnsi="Calibri" w:cs="Calibri"/>
                <w:b/>
                <w:color w:val="FFFFFF"/>
              </w:rPr>
              <w:t>Introduction</w:t>
            </w:r>
          </w:p>
        </w:tc>
        <w:tc>
          <w:tcPr>
            <w:tcW w:w="9356" w:type="dxa"/>
          </w:tcPr>
          <w:p w14:paraId="1DF56764" w14:textId="77777777" w:rsidR="00D33F62" w:rsidRPr="00DE57B1" w:rsidRDefault="00D54F30">
            <w:pPr>
              <w:spacing w:after="240"/>
              <w:jc w:val="left"/>
              <w:rPr>
                <w:rFonts w:ascii="Calibri" w:eastAsia="Calibri" w:hAnsi="Calibri" w:cs="Calibri"/>
                <w:sz w:val="22"/>
                <w:szCs w:val="22"/>
              </w:rPr>
            </w:pPr>
            <w:r w:rsidRPr="00DE57B1">
              <w:rPr>
                <w:rFonts w:ascii="Calibri" w:eastAsia="Calibri" w:hAnsi="Calibri" w:cs="Calibri"/>
                <w:sz w:val="22"/>
                <w:szCs w:val="22"/>
              </w:rPr>
              <w:t>To deliver its sustainable top 30 ambition Swansea University needs a professional services workforce with the differentiated skills necessary to ensure that it can deliver excellence through efficient and effective systems and processes that harness innovations in technology.</w:t>
            </w:r>
          </w:p>
        </w:tc>
      </w:tr>
      <w:tr w:rsidR="00D33F62" w14:paraId="1DF56769" w14:textId="77777777">
        <w:tc>
          <w:tcPr>
            <w:tcW w:w="1560" w:type="dxa"/>
            <w:shd w:val="clear" w:color="auto" w:fill="366091"/>
          </w:tcPr>
          <w:p w14:paraId="1DF56766" w14:textId="77777777" w:rsidR="00D33F62" w:rsidRDefault="00D54F30">
            <w:pPr>
              <w:spacing w:before="240" w:after="240"/>
              <w:rPr>
                <w:rFonts w:ascii="Calibri" w:eastAsia="Calibri" w:hAnsi="Calibri" w:cs="Calibri"/>
                <w:b/>
                <w:color w:val="FFFFFF"/>
              </w:rPr>
            </w:pPr>
            <w:r>
              <w:rPr>
                <w:rFonts w:ascii="Calibri" w:eastAsia="Calibri" w:hAnsi="Calibri" w:cs="Calibri"/>
                <w:b/>
                <w:color w:val="FFFFFF"/>
              </w:rPr>
              <w:t xml:space="preserve">Background information </w:t>
            </w:r>
          </w:p>
        </w:tc>
        <w:tc>
          <w:tcPr>
            <w:tcW w:w="9356" w:type="dxa"/>
          </w:tcPr>
          <w:p w14:paraId="1DF56767" w14:textId="7BEE90B1" w:rsidR="00D33F62" w:rsidRPr="00DE57B1" w:rsidRDefault="00D54F30">
            <w:pPr>
              <w:rPr>
                <w:rFonts w:ascii="Calibri" w:eastAsia="Calibri" w:hAnsi="Calibri" w:cs="Calibri"/>
                <w:sz w:val="22"/>
                <w:szCs w:val="22"/>
              </w:rPr>
            </w:pPr>
            <w:r w:rsidRPr="00DE57B1">
              <w:rPr>
                <w:rFonts w:ascii="Calibri" w:eastAsia="Calibri" w:hAnsi="Calibri" w:cs="Calibri"/>
                <w:sz w:val="22"/>
                <w:szCs w:val="22"/>
              </w:rPr>
              <w:t xml:space="preserve">The main purpose of this role is to deliver an excellent and customer-focused admissions service for the University’s </w:t>
            </w:r>
            <w:r w:rsidR="00674694">
              <w:rPr>
                <w:rFonts w:ascii="Calibri" w:eastAsia="Calibri" w:hAnsi="Calibri" w:cs="Calibri"/>
                <w:sz w:val="22"/>
                <w:szCs w:val="22"/>
              </w:rPr>
              <w:t xml:space="preserve">applicants and </w:t>
            </w:r>
            <w:r w:rsidRPr="00DE57B1">
              <w:rPr>
                <w:rFonts w:ascii="Calibri" w:eastAsia="Calibri" w:hAnsi="Calibri" w:cs="Calibri"/>
                <w:sz w:val="22"/>
                <w:szCs w:val="22"/>
              </w:rPr>
              <w:t>prospective students. The post holder will demonstrate sound judgement and decision-making abilities.  They will understand the imperative to meet the University’s stretching student recruitment targets and work in a professional, collaborative manner towards achieving this aim.   Role-modelling professional service values</w:t>
            </w:r>
            <w:r w:rsidR="00674694">
              <w:rPr>
                <w:rFonts w:ascii="Calibri" w:eastAsia="Calibri" w:hAnsi="Calibri" w:cs="Calibri"/>
                <w:sz w:val="22"/>
                <w:szCs w:val="22"/>
              </w:rPr>
              <w:t>,</w:t>
            </w:r>
            <w:r w:rsidRPr="00DE57B1">
              <w:rPr>
                <w:rFonts w:ascii="Calibri" w:eastAsia="Calibri" w:hAnsi="Calibri" w:cs="Calibri"/>
                <w:sz w:val="22"/>
                <w:szCs w:val="22"/>
              </w:rPr>
              <w:t xml:space="preserve"> they will confidently support the admissions function continually evaluating their own impact, that of their colleagues and of the admissions function.</w:t>
            </w:r>
          </w:p>
          <w:p w14:paraId="1DF56768" w14:textId="77777777" w:rsidR="00D33F62" w:rsidRPr="00DE57B1" w:rsidRDefault="00D33F62">
            <w:pPr>
              <w:rPr>
                <w:rFonts w:ascii="Calibri" w:eastAsia="Calibri" w:hAnsi="Calibri" w:cs="Calibri"/>
                <w:sz w:val="22"/>
                <w:szCs w:val="22"/>
              </w:rPr>
            </w:pPr>
          </w:p>
        </w:tc>
      </w:tr>
      <w:tr w:rsidR="00D33F62" w:rsidRPr="00DE57B1" w14:paraId="1DF5677C" w14:textId="77777777">
        <w:tc>
          <w:tcPr>
            <w:tcW w:w="1560" w:type="dxa"/>
            <w:shd w:val="clear" w:color="auto" w:fill="366091"/>
            <w:vAlign w:val="center"/>
          </w:tcPr>
          <w:p w14:paraId="1DF5676A" w14:textId="77777777" w:rsidR="00D33F62" w:rsidRPr="00DE57B1" w:rsidRDefault="00D54F30">
            <w:pPr>
              <w:jc w:val="left"/>
              <w:rPr>
                <w:rFonts w:asciiTheme="majorHAnsi" w:eastAsia="Calibri" w:hAnsiTheme="majorHAnsi" w:cstheme="majorHAnsi"/>
                <w:b/>
                <w:color w:val="FFFFFF"/>
                <w:sz w:val="22"/>
                <w:szCs w:val="22"/>
              </w:rPr>
            </w:pPr>
            <w:r w:rsidRPr="00DE57B1">
              <w:rPr>
                <w:rFonts w:asciiTheme="majorHAnsi" w:eastAsia="Calibri" w:hAnsiTheme="majorHAnsi" w:cstheme="majorHAnsi"/>
                <w:b/>
                <w:color w:val="FFFFFF"/>
                <w:sz w:val="22"/>
                <w:szCs w:val="22"/>
              </w:rPr>
              <w:t>Main Purpose of Post</w:t>
            </w:r>
          </w:p>
          <w:p w14:paraId="1DF5676B" w14:textId="77777777" w:rsidR="00D33F62" w:rsidRPr="00DE57B1" w:rsidRDefault="00D33F62">
            <w:pPr>
              <w:jc w:val="left"/>
              <w:rPr>
                <w:rFonts w:asciiTheme="majorHAnsi" w:eastAsia="Calibri" w:hAnsiTheme="majorHAnsi" w:cstheme="majorHAnsi"/>
                <w:b/>
                <w:color w:val="FFFFFF"/>
                <w:sz w:val="22"/>
                <w:szCs w:val="22"/>
              </w:rPr>
            </w:pPr>
          </w:p>
        </w:tc>
        <w:tc>
          <w:tcPr>
            <w:tcW w:w="9356" w:type="dxa"/>
          </w:tcPr>
          <w:p w14:paraId="0CF42FD6" w14:textId="77777777" w:rsidR="00037457" w:rsidRPr="00BF15A6" w:rsidRDefault="00037457" w:rsidP="00037457">
            <w:pPr>
              <w:numPr>
                <w:ilvl w:val="0"/>
                <w:numId w:val="3"/>
              </w:numPr>
              <w:spacing w:before="60" w:after="60"/>
              <w:ind w:right="289"/>
              <w:jc w:val="left"/>
              <w:rPr>
                <w:rStyle w:val="cf01"/>
                <w:rFonts w:asciiTheme="majorHAnsi" w:eastAsia="Calibri" w:hAnsiTheme="majorHAnsi" w:cstheme="majorHAnsi"/>
                <w:sz w:val="22"/>
                <w:szCs w:val="22"/>
              </w:rPr>
            </w:pPr>
            <w:r w:rsidRPr="00BF15A6">
              <w:rPr>
                <w:rStyle w:val="cf01"/>
                <w:rFonts w:asciiTheme="majorHAnsi" w:hAnsiTheme="majorHAnsi" w:cstheme="majorHAnsi"/>
                <w:sz w:val="22"/>
                <w:szCs w:val="22"/>
              </w:rPr>
              <w:t>To respond to and give expert advice on all admissions related enquiries, providing excellent customer service in a timely and professional manner.</w:t>
            </w:r>
          </w:p>
          <w:p w14:paraId="066B94F4" w14:textId="3C1BAE22" w:rsidR="00037457" w:rsidRPr="00BF15A6" w:rsidRDefault="00037457" w:rsidP="00037457">
            <w:pPr>
              <w:numPr>
                <w:ilvl w:val="0"/>
                <w:numId w:val="3"/>
              </w:numPr>
              <w:spacing w:before="60" w:after="60"/>
              <w:ind w:right="289"/>
              <w:jc w:val="left"/>
              <w:rPr>
                <w:rFonts w:asciiTheme="majorHAnsi" w:eastAsia="Calibri" w:hAnsiTheme="majorHAnsi" w:cstheme="majorHAnsi"/>
                <w:sz w:val="22"/>
                <w:szCs w:val="22"/>
              </w:rPr>
            </w:pPr>
            <w:r w:rsidRPr="00BF15A6">
              <w:rPr>
                <w:rStyle w:val="cf01"/>
                <w:rFonts w:asciiTheme="majorHAnsi" w:hAnsiTheme="majorHAnsi" w:cstheme="majorHAnsi"/>
                <w:sz w:val="22"/>
                <w:szCs w:val="22"/>
              </w:rPr>
              <w:t xml:space="preserve">Processing high volume of applications </w:t>
            </w:r>
            <w:proofErr w:type="gramStart"/>
            <w:r w:rsidRPr="00BF15A6">
              <w:rPr>
                <w:rStyle w:val="cf01"/>
                <w:rFonts w:asciiTheme="majorHAnsi" w:hAnsiTheme="majorHAnsi" w:cstheme="majorHAnsi"/>
                <w:sz w:val="22"/>
                <w:szCs w:val="22"/>
              </w:rPr>
              <w:t>on a daily basis</w:t>
            </w:r>
            <w:proofErr w:type="gramEnd"/>
            <w:r w:rsidRPr="00BF15A6">
              <w:rPr>
                <w:rStyle w:val="cf01"/>
                <w:rFonts w:asciiTheme="majorHAnsi" w:hAnsiTheme="majorHAnsi" w:cstheme="majorHAnsi"/>
                <w:sz w:val="22"/>
                <w:szCs w:val="22"/>
              </w:rPr>
              <w:t>. This involves making careful checks on information held, chasing outstanding information and obtaining qualification results. Checking application against pre-defined entry criteria before sending decision ensuring response is correct and appropriate, with the aim of 100% accuracy within agreed deadlines.</w:t>
            </w:r>
          </w:p>
          <w:p w14:paraId="3CDBFD58" w14:textId="77777777" w:rsidR="00037457" w:rsidRPr="00BF15A6" w:rsidRDefault="00D54F30" w:rsidP="00037457">
            <w:pPr>
              <w:numPr>
                <w:ilvl w:val="0"/>
                <w:numId w:val="3"/>
              </w:numPr>
              <w:ind w:right="289"/>
              <w:jc w:val="left"/>
              <w:rPr>
                <w:rFonts w:asciiTheme="majorHAnsi" w:eastAsia="Calibri" w:hAnsiTheme="majorHAnsi" w:cstheme="majorHAnsi"/>
                <w:sz w:val="22"/>
                <w:szCs w:val="22"/>
              </w:rPr>
            </w:pPr>
            <w:r w:rsidRPr="00BF15A6">
              <w:rPr>
                <w:rFonts w:asciiTheme="majorHAnsi" w:eastAsia="Calibri" w:hAnsiTheme="majorHAnsi" w:cstheme="majorHAnsi"/>
                <w:sz w:val="22"/>
                <w:szCs w:val="22"/>
              </w:rPr>
              <w:t>To be responsible for making fair and consistent decisions on applications in line with Admissions policy and best practice, whilst ensuring the quality of admissions through a thorough understanding of qualifications, entry criteria and international education systems</w:t>
            </w:r>
          </w:p>
          <w:p w14:paraId="480C54C9" w14:textId="13A1AFA5" w:rsidR="00037457" w:rsidRPr="00BF15A6" w:rsidRDefault="00037457" w:rsidP="00037457">
            <w:pPr>
              <w:numPr>
                <w:ilvl w:val="0"/>
                <w:numId w:val="3"/>
              </w:numPr>
              <w:ind w:right="289"/>
              <w:jc w:val="left"/>
              <w:rPr>
                <w:rFonts w:asciiTheme="majorHAnsi" w:eastAsia="Calibri" w:hAnsiTheme="majorHAnsi" w:cstheme="majorHAnsi"/>
                <w:sz w:val="22"/>
                <w:szCs w:val="22"/>
              </w:rPr>
            </w:pPr>
            <w:r w:rsidRPr="00BF15A6">
              <w:rPr>
                <w:rStyle w:val="cf01"/>
                <w:rFonts w:asciiTheme="majorHAnsi" w:hAnsiTheme="majorHAnsi" w:cstheme="majorHAnsi"/>
                <w:sz w:val="22"/>
                <w:szCs w:val="22"/>
              </w:rPr>
              <w:t>Liaising with external organisations and internal colleagues in connection with admissions matters</w:t>
            </w:r>
          </w:p>
          <w:p w14:paraId="1DF56771" w14:textId="77777777" w:rsidR="00D33F62" w:rsidRPr="00BF15A6" w:rsidRDefault="00D54F30">
            <w:pPr>
              <w:numPr>
                <w:ilvl w:val="0"/>
                <w:numId w:val="3"/>
              </w:numPr>
              <w:jc w:val="left"/>
              <w:rPr>
                <w:rFonts w:asciiTheme="majorHAnsi" w:eastAsia="Calibri" w:hAnsiTheme="majorHAnsi" w:cstheme="majorHAnsi"/>
                <w:sz w:val="22"/>
                <w:szCs w:val="22"/>
              </w:rPr>
            </w:pPr>
            <w:r w:rsidRPr="00BF15A6">
              <w:rPr>
                <w:rFonts w:asciiTheme="majorHAnsi" w:eastAsia="Calibri" w:hAnsiTheme="majorHAnsi" w:cstheme="majorHAnsi"/>
                <w:sz w:val="22"/>
                <w:szCs w:val="22"/>
              </w:rPr>
              <w:t>To assist with small project work within the Admissions team within guidelines and timeframes given by senior Admissions staff</w:t>
            </w:r>
          </w:p>
          <w:p w14:paraId="1DF56772" w14:textId="77777777" w:rsidR="00D33F62" w:rsidRPr="00BF15A6" w:rsidRDefault="00D54F30">
            <w:pPr>
              <w:numPr>
                <w:ilvl w:val="0"/>
                <w:numId w:val="3"/>
              </w:numPr>
              <w:tabs>
                <w:tab w:val="left" w:pos="0"/>
              </w:tabs>
              <w:spacing w:before="60" w:after="60"/>
              <w:ind w:right="289"/>
              <w:rPr>
                <w:rFonts w:asciiTheme="majorHAnsi" w:eastAsia="Calibri" w:hAnsiTheme="majorHAnsi" w:cstheme="majorHAnsi"/>
                <w:sz w:val="22"/>
                <w:szCs w:val="22"/>
              </w:rPr>
            </w:pPr>
            <w:r w:rsidRPr="00BF15A6">
              <w:rPr>
                <w:rFonts w:asciiTheme="majorHAnsi" w:eastAsia="Calibri" w:hAnsiTheme="majorHAnsi" w:cstheme="majorHAnsi"/>
                <w:sz w:val="22"/>
                <w:szCs w:val="22"/>
              </w:rPr>
              <w:t>Active participation in Confirmation, Clearing and the enrolment of new students</w:t>
            </w:r>
          </w:p>
          <w:p w14:paraId="1DF56773" w14:textId="77777777" w:rsidR="00D33F62" w:rsidRPr="00BF15A6" w:rsidRDefault="00D54F30">
            <w:pPr>
              <w:numPr>
                <w:ilvl w:val="0"/>
                <w:numId w:val="3"/>
              </w:numPr>
              <w:spacing w:before="60" w:after="60"/>
              <w:ind w:right="289"/>
              <w:rPr>
                <w:rFonts w:asciiTheme="majorHAnsi" w:eastAsia="Calibri" w:hAnsiTheme="majorHAnsi" w:cstheme="majorHAnsi"/>
                <w:sz w:val="22"/>
                <w:szCs w:val="22"/>
              </w:rPr>
            </w:pPr>
            <w:r w:rsidRPr="00BF15A6">
              <w:rPr>
                <w:rFonts w:asciiTheme="majorHAnsi" w:eastAsia="Calibri" w:hAnsiTheme="majorHAnsi" w:cstheme="majorHAnsi"/>
                <w:sz w:val="22"/>
                <w:szCs w:val="22"/>
              </w:rPr>
              <w:t>To identify opportunities to improve admissions processes as well as engaging in continuing professional development.</w:t>
            </w:r>
          </w:p>
          <w:p w14:paraId="1DF56774" w14:textId="77777777" w:rsidR="00D33F62" w:rsidRPr="00BF15A6" w:rsidRDefault="00D54F30">
            <w:pPr>
              <w:numPr>
                <w:ilvl w:val="0"/>
                <w:numId w:val="3"/>
              </w:numPr>
              <w:spacing w:before="60"/>
              <w:jc w:val="left"/>
              <w:rPr>
                <w:rFonts w:asciiTheme="majorHAnsi" w:eastAsia="Calibri" w:hAnsiTheme="majorHAnsi" w:cstheme="majorHAnsi"/>
                <w:sz w:val="22"/>
                <w:szCs w:val="22"/>
              </w:rPr>
            </w:pPr>
            <w:r w:rsidRPr="00BF15A6">
              <w:rPr>
                <w:rFonts w:asciiTheme="majorHAnsi" w:eastAsia="Calibri" w:hAnsiTheme="majorHAnsi" w:cstheme="majorHAnsi"/>
                <w:sz w:val="22"/>
                <w:szCs w:val="22"/>
              </w:rPr>
              <w:t>To support recruitment and marketing activities such as visit and open days as necessary</w:t>
            </w:r>
          </w:p>
          <w:p w14:paraId="1DF56775" w14:textId="06B89604" w:rsidR="00D33F62" w:rsidRPr="00BF15A6" w:rsidRDefault="00D54F30">
            <w:pPr>
              <w:numPr>
                <w:ilvl w:val="0"/>
                <w:numId w:val="3"/>
              </w:numPr>
              <w:spacing w:after="60"/>
              <w:jc w:val="left"/>
              <w:rPr>
                <w:rFonts w:asciiTheme="majorHAnsi" w:eastAsia="Calibri" w:hAnsiTheme="majorHAnsi" w:cstheme="majorHAnsi"/>
                <w:sz w:val="22"/>
                <w:szCs w:val="22"/>
              </w:rPr>
            </w:pPr>
            <w:r w:rsidRPr="00BF15A6">
              <w:rPr>
                <w:rFonts w:asciiTheme="majorHAnsi" w:eastAsia="Calibri" w:hAnsiTheme="majorHAnsi" w:cstheme="majorHAnsi"/>
                <w:sz w:val="22"/>
                <w:szCs w:val="22"/>
              </w:rPr>
              <w:t xml:space="preserve">As a high-performing Department, </w:t>
            </w:r>
            <w:r w:rsidR="007C6A26" w:rsidRPr="00BF15A6">
              <w:rPr>
                <w:rFonts w:asciiTheme="majorHAnsi" w:eastAsia="Calibri" w:hAnsiTheme="majorHAnsi" w:cstheme="majorHAnsi"/>
                <w:sz w:val="22"/>
                <w:szCs w:val="22"/>
              </w:rPr>
              <w:t>Admissions</w:t>
            </w:r>
            <w:r w:rsidRPr="00BF15A6">
              <w:rPr>
                <w:rFonts w:asciiTheme="majorHAnsi" w:eastAsia="Calibri" w:hAnsiTheme="majorHAnsi" w:cstheme="majorHAnsi"/>
                <w:sz w:val="22"/>
                <w:szCs w:val="22"/>
              </w:rPr>
              <w:t xml:space="preserve"> is </w:t>
            </w:r>
            <w:r w:rsidR="007C6A26" w:rsidRPr="00BF15A6">
              <w:rPr>
                <w:rFonts w:asciiTheme="majorHAnsi" w:eastAsia="Calibri" w:hAnsiTheme="majorHAnsi" w:cstheme="majorHAnsi"/>
                <w:sz w:val="22"/>
                <w:szCs w:val="22"/>
              </w:rPr>
              <w:t>constantly improving and Admissions</w:t>
            </w:r>
            <w:r w:rsidRPr="00BF15A6">
              <w:rPr>
                <w:rFonts w:asciiTheme="majorHAnsi" w:eastAsia="Calibri" w:hAnsiTheme="majorHAnsi" w:cstheme="majorHAnsi"/>
                <w:sz w:val="22"/>
                <w:szCs w:val="22"/>
              </w:rPr>
              <w:t xml:space="preserve"> professionals are expected to engage in alterna</w:t>
            </w:r>
            <w:r w:rsidR="007C6A26" w:rsidRPr="00BF15A6">
              <w:rPr>
                <w:rFonts w:asciiTheme="majorHAnsi" w:eastAsia="Calibri" w:hAnsiTheme="majorHAnsi" w:cstheme="majorHAnsi"/>
                <w:sz w:val="22"/>
                <w:szCs w:val="22"/>
              </w:rPr>
              <w:t>tive roles in other areas of Admissions</w:t>
            </w:r>
            <w:r w:rsidRPr="00BF15A6">
              <w:rPr>
                <w:rFonts w:asciiTheme="majorHAnsi" w:eastAsia="Calibri" w:hAnsiTheme="majorHAnsi" w:cstheme="majorHAnsi"/>
                <w:sz w:val="22"/>
                <w:szCs w:val="22"/>
              </w:rPr>
              <w:t xml:space="preserve"> or the wider University, for personal and professional growth or where it may be operationally required.</w:t>
            </w:r>
          </w:p>
          <w:p w14:paraId="1DF56776" w14:textId="77777777" w:rsidR="00D33F62" w:rsidRPr="00BF15A6" w:rsidRDefault="00D54F30">
            <w:pPr>
              <w:numPr>
                <w:ilvl w:val="0"/>
                <w:numId w:val="3"/>
              </w:numPr>
              <w:pBdr>
                <w:top w:val="nil"/>
                <w:left w:val="nil"/>
                <w:bottom w:val="nil"/>
                <w:right w:val="nil"/>
                <w:between w:val="nil"/>
              </w:pBdr>
              <w:spacing w:line="276" w:lineRule="auto"/>
              <w:rPr>
                <w:rFonts w:asciiTheme="majorHAnsi" w:eastAsia="Calibri" w:hAnsiTheme="majorHAnsi" w:cstheme="majorHAnsi"/>
                <w:sz w:val="22"/>
                <w:szCs w:val="22"/>
              </w:rPr>
            </w:pPr>
            <w:r w:rsidRPr="00BF15A6">
              <w:rPr>
                <w:rFonts w:asciiTheme="majorHAnsi" w:eastAsia="Calibri" w:hAnsiTheme="majorHAnsi" w:cstheme="majorHAnsi"/>
                <w:sz w:val="22"/>
                <w:szCs w:val="22"/>
              </w:rPr>
              <w:t>To fully engage with the University’s Performance Enabling and Welsh language policies</w:t>
            </w:r>
          </w:p>
          <w:p w14:paraId="1DF56777" w14:textId="77777777" w:rsidR="00D33F62" w:rsidRPr="00BF15A6" w:rsidRDefault="00D54F30">
            <w:pPr>
              <w:numPr>
                <w:ilvl w:val="0"/>
                <w:numId w:val="3"/>
              </w:numPr>
              <w:pBdr>
                <w:top w:val="nil"/>
                <w:left w:val="nil"/>
                <w:bottom w:val="nil"/>
                <w:right w:val="nil"/>
                <w:between w:val="nil"/>
              </w:pBdr>
              <w:spacing w:line="276" w:lineRule="auto"/>
              <w:rPr>
                <w:rFonts w:asciiTheme="majorHAnsi" w:eastAsia="Calibri" w:hAnsiTheme="majorHAnsi" w:cstheme="majorHAnsi"/>
                <w:sz w:val="22"/>
                <w:szCs w:val="22"/>
              </w:rPr>
            </w:pPr>
            <w:r w:rsidRPr="00BF15A6">
              <w:rPr>
                <w:rFonts w:asciiTheme="majorHAnsi" w:eastAsia="Calibri" w:hAnsiTheme="majorHAnsi" w:cstheme="majorHAnsi"/>
                <w:sz w:val="22"/>
                <w:szCs w:val="22"/>
              </w:rPr>
              <w:t>To promote equality and diversity in working practices and to maintain positive working relationships.</w:t>
            </w:r>
          </w:p>
          <w:p w14:paraId="1DF56778" w14:textId="77777777" w:rsidR="00D33F62" w:rsidRPr="00BF15A6" w:rsidRDefault="00D54F30">
            <w:pPr>
              <w:numPr>
                <w:ilvl w:val="0"/>
                <w:numId w:val="3"/>
              </w:numPr>
              <w:pBdr>
                <w:top w:val="nil"/>
                <w:left w:val="nil"/>
                <w:bottom w:val="nil"/>
                <w:right w:val="nil"/>
                <w:between w:val="nil"/>
              </w:pBdr>
              <w:spacing w:line="276" w:lineRule="auto"/>
              <w:rPr>
                <w:rFonts w:asciiTheme="majorHAnsi" w:eastAsia="Calibri" w:hAnsiTheme="majorHAnsi" w:cstheme="majorHAnsi"/>
                <w:sz w:val="22"/>
                <w:szCs w:val="22"/>
              </w:rPr>
            </w:pPr>
            <w:r w:rsidRPr="00BF15A6">
              <w:rPr>
                <w:rFonts w:asciiTheme="majorHAnsi" w:eastAsia="Calibri" w:hAnsiTheme="majorHAnsi" w:cstheme="majorHAnsi"/>
                <w:sz w:val="22"/>
                <w:szCs w:val="22"/>
              </w:rPr>
              <w:lastRenderedPageBreak/>
              <w:t xml:space="preserve">To lead on the continual improvement of health and safety performance through a good understanding of the risk profile and the development of a positive health and safety culture. </w:t>
            </w:r>
          </w:p>
          <w:p w14:paraId="1DF56779" w14:textId="715499BC" w:rsidR="00D33F62" w:rsidRPr="00BF15A6" w:rsidRDefault="00D54F30">
            <w:pPr>
              <w:numPr>
                <w:ilvl w:val="0"/>
                <w:numId w:val="3"/>
              </w:numPr>
              <w:pBdr>
                <w:top w:val="nil"/>
                <w:left w:val="nil"/>
                <w:bottom w:val="nil"/>
                <w:right w:val="nil"/>
                <w:between w:val="nil"/>
              </w:pBdr>
              <w:spacing w:line="276" w:lineRule="auto"/>
              <w:rPr>
                <w:rFonts w:asciiTheme="majorHAnsi" w:eastAsia="Calibri" w:hAnsiTheme="majorHAnsi" w:cstheme="majorHAnsi"/>
                <w:sz w:val="22"/>
                <w:szCs w:val="22"/>
              </w:rPr>
            </w:pPr>
            <w:r w:rsidRPr="00BF15A6">
              <w:rPr>
                <w:rFonts w:asciiTheme="majorHAnsi" w:eastAsia="Calibri" w:hAnsiTheme="majorHAnsi" w:cstheme="majorHAnsi"/>
                <w:sz w:val="22"/>
                <w:szCs w:val="22"/>
              </w:rPr>
              <w:t xml:space="preserve">Any other duties as directed by the Head of </w:t>
            </w:r>
            <w:proofErr w:type="gramStart"/>
            <w:r w:rsidRPr="00BF15A6">
              <w:rPr>
                <w:rFonts w:asciiTheme="majorHAnsi" w:eastAsia="Calibri" w:hAnsiTheme="majorHAnsi" w:cstheme="majorHAnsi"/>
                <w:sz w:val="22"/>
                <w:szCs w:val="22"/>
              </w:rPr>
              <w:t>Department</w:t>
            </w:r>
            <w:proofErr w:type="gramEnd"/>
            <w:r w:rsidRPr="00BF15A6">
              <w:rPr>
                <w:rFonts w:asciiTheme="majorHAnsi" w:eastAsia="Calibri" w:hAnsiTheme="majorHAnsi" w:cstheme="majorHAnsi"/>
                <w:sz w:val="22"/>
                <w:szCs w:val="22"/>
              </w:rPr>
              <w:t xml:space="preserve"> or their nominated representative expected within the grade definition.</w:t>
            </w:r>
          </w:p>
          <w:p w14:paraId="1DF5677A" w14:textId="77777777" w:rsidR="00D33F62" w:rsidRPr="00BF15A6" w:rsidRDefault="00D54F30">
            <w:pPr>
              <w:numPr>
                <w:ilvl w:val="0"/>
                <w:numId w:val="3"/>
              </w:numPr>
              <w:pBdr>
                <w:top w:val="nil"/>
                <w:left w:val="nil"/>
                <w:bottom w:val="nil"/>
                <w:right w:val="nil"/>
                <w:between w:val="nil"/>
              </w:pBdr>
              <w:spacing w:line="276" w:lineRule="auto"/>
              <w:rPr>
                <w:rFonts w:asciiTheme="majorHAnsi" w:eastAsia="Calibri" w:hAnsiTheme="majorHAnsi" w:cstheme="majorHAnsi"/>
                <w:sz w:val="22"/>
                <w:szCs w:val="22"/>
              </w:rPr>
            </w:pPr>
            <w:r w:rsidRPr="00BF15A6">
              <w:rPr>
                <w:rFonts w:asciiTheme="majorHAnsi" w:eastAsia="Calibri" w:hAnsiTheme="majorHAnsi" w:cstheme="majorHAnsi"/>
                <w:sz w:val="22"/>
                <w:szCs w:val="22"/>
              </w:rPr>
              <w:t xml:space="preserve">To ensure that risk management is an integral part of your </w:t>
            </w:r>
            <w:proofErr w:type="gramStart"/>
            <w:r w:rsidRPr="00BF15A6">
              <w:rPr>
                <w:rFonts w:asciiTheme="majorHAnsi" w:eastAsia="Calibri" w:hAnsiTheme="majorHAnsi" w:cstheme="majorHAnsi"/>
                <w:sz w:val="22"/>
                <w:szCs w:val="22"/>
              </w:rPr>
              <w:t>day to day</w:t>
            </w:r>
            <w:proofErr w:type="gramEnd"/>
            <w:r w:rsidRPr="00BF15A6">
              <w:rPr>
                <w:rFonts w:asciiTheme="majorHAnsi" w:eastAsia="Calibri" w:hAnsiTheme="majorHAnsi" w:cstheme="majorHAnsi"/>
                <w:sz w:val="22"/>
                <w:szCs w:val="22"/>
              </w:rPr>
              <w:t xml:space="preserve"> activities to ensure working practices are compliant with the University's Risk Management Policy</w:t>
            </w:r>
          </w:p>
          <w:p w14:paraId="1DF5677B" w14:textId="77777777" w:rsidR="00D33F62" w:rsidRPr="00BF15A6" w:rsidRDefault="00D33F62">
            <w:pPr>
              <w:spacing w:before="60" w:after="60"/>
              <w:ind w:left="567"/>
              <w:jc w:val="left"/>
              <w:rPr>
                <w:rFonts w:asciiTheme="majorHAnsi" w:eastAsia="Calibri" w:hAnsiTheme="majorHAnsi" w:cstheme="majorHAnsi"/>
                <w:sz w:val="22"/>
                <w:szCs w:val="22"/>
              </w:rPr>
            </w:pPr>
          </w:p>
        </w:tc>
      </w:tr>
      <w:tr w:rsidR="00D33F62" w:rsidRPr="00DE57B1" w14:paraId="1DF56784" w14:textId="77777777">
        <w:tc>
          <w:tcPr>
            <w:tcW w:w="1560" w:type="dxa"/>
            <w:shd w:val="clear" w:color="auto" w:fill="366091"/>
            <w:vAlign w:val="center"/>
          </w:tcPr>
          <w:p w14:paraId="1DF5677D" w14:textId="77777777" w:rsidR="00D33F62" w:rsidRPr="00DE57B1" w:rsidRDefault="00D54F30">
            <w:pPr>
              <w:jc w:val="left"/>
              <w:rPr>
                <w:rFonts w:asciiTheme="majorHAnsi" w:eastAsia="Calibri" w:hAnsiTheme="majorHAnsi" w:cstheme="majorHAnsi"/>
                <w:b/>
                <w:color w:val="FFFFFF"/>
                <w:sz w:val="22"/>
                <w:szCs w:val="22"/>
              </w:rPr>
            </w:pPr>
            <w:r w:rsidRPr="00DE57B1">
              <w:rPr>
                <w:rFonts w:asciiTheme="majorHAnsi" w:eastAsia="Calibri" w:hAnsiTheme="majorHAnsi" w:cstheme="majorHAnsi"/>
                <w:b/>
                <w:color w:val="FFFFFF"/>
                <w:sz w:val="22"/>
                <w:szCs w:val="22"/>
              </w:rPr>
              <w:lastRenderedPageBreak/>
              <w:t>Professional Services Values</w:t>
            </w:r>
          </w:p>
        </w:tc>
        <w:tc>
          <w:tcPr>
            <w:tcW w:w="9356" w:type="dxa"/>
          </w:tcPr>
          <w:p w14:paraId="1DF5677E" w14:textId="77777777" w:rsidR="00D33F62" w:rsidRPr="00DE57B1" w:rsidRDefault="00D54F30">
            <w:pPr>
              <w:spacing w:after="280"/>
              <w:rPr>
                <w:rFonts w:asciiTheme="majorHAnsi" w:eastAsia="Calibri" w:hAnsiTheme="majorHAnsi" w:cstheme="majorHAnsi"/>
                <w:sz w:val="22"/>
                <w:szCs w:val="22"/>
              </w:rPr>
            </w:pPr>
            <w:r w:rsidRPr="00DE57B1">
              <w:rPr>
                <w:rFonts w:asciiTheme="majorHAnsi" w:eastAsia="Calibri" w:hAnsiTheme="majorHAnsi" w:cstheme="majorHAnsi"/>
                <w:sz w:val="22"/>
                <w:szCs w:val="22"/>
              </w:rPr>
              <w:t>All Professional Services areas at Swansea University operate to a defined set of Core Values - </w:t>
            </w:r>
            <w:hyperlink r:id="rId9">
              <w:r w:rsidRPr="00DE57B1">
                <w:rPr>
                  <w:rFonts w:asciiTheme="majorHAnsi" w:eastAsia="Calibri" w:hAnsiTheme="majorHAnsi" w:cstheme="majorHAnsi"/>
                  <w:color w:val="0000FF"/>
                  <w:sz w:val="22"/>
                  <w:szCs w:val="22"/>
                  <w:u w:val="single"/>
                </w:rPr>
                <w:t>Professional Services Values</w:t>
              </w:r>
            </w:hyperlink>
            <w:r w:rsidRPr="00DE57B1">
              <w:rPr>
                <w:rFonts w:asciiTheme="majorHAnsi" w:eastAsia="Calibri" w:hAnsiTheme="majorHAnsi" w:cstheme="majorHAnsi"/>
                <w:sz w:val="22"/>
                <w:szCs w:val="22"/>
              </w:rPr>
              <w:t xml:space="preserve"> and it is an expectation that everyone is able to demonstrate a commitment to these values from the point of application through to the day to day delivery of their roles. Commitment to our values at Swansea University supports us in promoting equality and valuing diversity to utilise all the talent that we have. </w:t>
            </w:r>
          </w:p>
          <w:p w14:paraId="1DF5677F" w14:textId="77777777" w:rsidR="00D33F62" w:rsidRPr="00DE57B1" w:rsidRDefault="00D54F30">
            <w:pPr>
              <w:spacing w:before="280"/>
              <w:jc w:val="left"/>
              <w:rPr>
                <w:rFonts w:asciiTheme="majorHAnsi" w:eastAsia="Calibri" w:hAnsiTheme="majorHAnsi" w:cstheme="majorHAnsi"/>
                <w:sz w:val="22"/>
                <w:szCs w:val="22"/>
              </w:rPr>
            </w:pPr>
            <w:r w:rsidRPr="00DE57B1">
              <w:rPr>
                <w:rFonts w:asciiTheme="majorHAnsi" w:eastAsia="Calibri" w:hAnsiTheme="majorHAnsi" w:cstheme="majorHAnsi"/>
                <w:b/>
                <w:sz w:val="22"/>
                <w:szCs w:val="22"/>
              </w:rPr>
              <w:t>We are Professional</w:t>
            </w:r>
            <w:r w:rsidRPr="00DE57B1">
              <w:rPr>
                <w:rFonts w:asciiTheme="majorHAnsi" w:eastAsia="Calibri" w:hAnsiTheme="majorHAnsi" w:cstheme="majorHAnsi"/>
                <w:sz w:val="22"/>
                <w:szCs w:val="22"/>
              </w:rPr>
              <w:br/>
              <w:t>We take pride in applying our knowledge, skills, creativity, integrity and judgement to deliver innovative, effective, efficient services and solutions of excellent quality</w:t>
            </w:r>
          </w:p>
          <w:p w14:paraId="1DF56780" w14:textId="77777777" w:rsidR="00D33F62" w:rsidRPr="00DE57B1" w:rsidRDefault="00D54F30">
            <w:pPr>
              <w:spacing w:after="280"/>
              <w:jc w:val="left"/>
              <w:rPr>
                <w:rFonts w:asciiTheme="majorHAnsi" w:eastAsia="Calibri" w:hAnsiTheme="majorHAnsi" w:cstheme="majorHAnsi"/>
                <w:sz w:val="22"/>
                <w:szCs w:val="22"/>
              </w:rPr>
            </w:pPr>
            <w:r w:rsidRPr="00DE57B1">
              <w:rPr>
                <w:rFonts w:asciiTheme="majorHAnsi" w:eastAsia="Calibri" w:hAnsiTheme="majorHAnsi" w:cstheme="majorHAnsi"/>
                <w:b/>
                <w:sz w:val="22"/>
                <w:szCs w:val="22"/>
              </w:rPr>
              <w:br/>
              <w:t>We Work Together</w:t>
            </w:r>
            <w:r w:rsidRPr="00DE57B1">
              <w:rPr>
                <w:rFonts w:asciiTheme="majorHAnsi" w:eastAsia="Calibri" w:hAnsiTheme="majorHAnsi" w:cstheme="majorHAnsi"/>
                <w:sz w:val="22"/>
                <w:szCs w:val="22"/>
              </w:rPr>
              <w:t xml:space="preserve">         </w:t>
            </w:r>
            <w:r w:rsidRPr="00DE57B1">
              <w:rPr>
                <w:rFonts w:asciiTheme="majorHAnsi" w:eastAsia="Calibri" w:hAnsiTheme="majorHAnsi" w:cstheme="majorHAnsi"/>
                <w:sz w:val="22"/>
                <w:szCs w:val="22"/>
              </w:rPr>
              <w:br/>
              <w:t>We take pride in working in a proactive, collaborative environment of equality, trust, respect, co-operation and challenge to deliver services that strive to exceed the needs and expectations of customers.</w:t>
            </w:r>
          </w:p>
          <w:p w14:paraId="1DF56781" w14:textId="77777777" w:rsidR="00D33F62" w:rsidRPr="00DE57B1" w:rsidRDefault="00D54F30">
            <w:pPr>
              <w:spacing w:before="280" w:after="280"/>
              <w:jc w:val="left"/>
              <w:rPr>
                <w:rFonts w:asciiTheme="majorHAnsi" w:eastAsia="Calibri" w:hAnsiTheme="majorHAnsi" w:cstheme="majorHAnsi"/>
                <w:sz w:val="22"/>
                <w:szCs w:val="22"/>
              </w:rPr>
            </w:pPr>
            <w:r w:rsidRPr="00DE57B1">
              <w:rPr>
                <w:rFonts w:asciiTheme="majorHAnsi" w:eastAsia="Calibri" w:hAnsiTheme="majorHAnsi" w:cstheme="majorHAnsi"/>
                <w:b/>
                <w:sz w:val="22"/>
                <w:szCs w:val="22"/>
              </w:rPr>
              <w:t>We Care</w:t>
            </w:r>
            <w:r w:rsidRPr="00DE57B1">
              <w:rPr>
                <w:rFonts w:asciiTheme="majorHAnsi" w:eastAsia="Calibri" w:hAnsiTheme="majorHAnsi" w:cstheme="majorHAnsi"/>
                <w:sz w:val="22"/>
                <w:szCs w:val="22"/>
              </w:rPr>
              <w:br/>
              <w:t>We take responsibility for listening, understanding and responding flexibly to our students, colleagues, external partners and the public so that every contact they have with us is a personalised and positive experience.</w:t>
            </w:r>
          </w:p>
          <w:p w14:paraId="1DF56782" w14:textId="77777777" w:rsidR="00D33F62" w:rsidRPr="00DE57B1" w:rsidRDefault="00D54F30">
            <w:pPr>
              <w:spacing w:before="280"/>
              <w:jc w:val="left"/>
              <w:rPr>
                <w:rFonts w:asciiTheme="majorHAnsi" w:eastAsia="Calibri" w:hAnsiTheme="majorHAnsi" w:cstheme="majorHAnsi"/>
                <w:sz w:val="22"/>
                <w:szCs w:val="22"/>
              </w:rPr>
            </w:pPr>
            <w:r w:rsidRPr="00DE57B1">
              <w:rPr>
                <w:rFonts w:asciiTheme="majorHAnsi" w:eastAsia="Calibri" w:hAnsiTheme="majorHAnsi" w:cstheme="majorHAnsi"/>
                <w:sz w:val="22"/>
                <w:szCs w:val="22"/>
              </w:rPr>
              <w:t>Commitment to our values at Swansea University supports us in promoting equality and valuing diversity to utilise all the talent that we have.</w:t>
            </w:r>
          </w:p>
          <w:p w14:paraId="1DF56783" w14:textId="77777777" w:rsidR="00D33F62" w:rsidRPr="00DE57B1" w:rsidRDefault="00D33F62">
            <w:pPr>
              <w:rPr>
                <w:rFonts w:asciiTheme="majorHAnsi" w:eastAsia="Calibri" w:hAnsiTheme="majorHAnsi" w:cstheme="majorHAnsi"/>
                <w:sz w:val="22"/>
                <w:szCs w:val="22"/>
              </w:rPr>
            </w:pPr>
          </w:p>
        </w:tc>
      </w:tr>
      <w:tr w:rsidR="00D33F62" w:rsidRPr="00DE57B1" w14:paraId="1DF567A0" w14:textId="77777777">
        <w:tc>
          <w:tcPr>
            <w:tcW w:w="1560" w:type="dxa"/>
            <w:shd w:val="clear" w:color="auto" w:fill="366091"/>
            <w:vAlign w:val="center"/>
          </w:tcPr>
          <w:p w14:paraId="1DF56785" w14:textId="77777777" w:rsidR="00D33F62" w:rsidRPr="00DE57B1" w:rsidRDefault="00D54F30">
            <w:pPr>
              <w:spacing w:before="240" w:after="240"/>
              <w:jc w:val="left"/>
              <w:rPr>
                <w:rFonts w:asciiTheme="majorHAnsi" w:eastAsia="Calibri" w:hAnsiTheme="majorHAnsi" w:cstheme="majorHAnsi"/>
                <w:b/>
                <w:color w:val="FFFFFF"/>
                <w:sz w:val="22"/>
                <w:szCs w:val="22"/>
              </w:rPr>
            </w:pPr>
            <w:r w:rsidRPr="00DE57B1">
              <w:rPr>
                <w:rFonts w:asciiTheme="majorHAnsi" w:eastAsia="Calibri" w:hAnsiTheme="majorHAnsi" w:cstheme="majorHAnsi"/>
                <w:b/>
                <w:color w:val="FFFFFF"/>
                <w:sz w:val="22"/>
                <w:szCs w:val="22"/>
              </w:rPr>
              <w:t>Person Specification</w:t>
            </w:r>
          </w:p>
          <w:p w14:paraId="1DF56786" w14:textId="77777777" w:rsidR="00D33F62" w:rsidRPr="00DE57B1" w:rsidRDefault="00D33F62">
            <w:pPr>
              <w:jc w:val="left"/>
              <w:rPr>
                <w:rFonts w:asciiTheme="majorHAnsi" w:eastAsia="Calibri" w:hAnsiTheme="majorHAnsi" w:cstheme="majorHAnsi"/>
                <w:color w:val="FFFFFF"/>
                <w:sz w:val="22"/>
                <w:szCs w:val="22"/>
              </w:rPr>
            </w:pPr>
          </w:p>
        </w:tc>
        <w:tc>
          <w:tcPr>
            <w:tcW w:w="9356" w:type="dxa"/>
          </w:tcPr>
          <w:p w14:paraId="1DF56787" w14:textId="77777777" w:rsidR="00D33F62" w:rsidRPr="00DE57B1" w:rsidRDefault="00D54F30">
            <w:pPr>
              <w:rPr>
                <w:rFonts w:asciiTheme="majorHAnsi" w:eastAsia="Calibri" w:hAnsiTheme="majorHAnsi" w:cstheme="majorHAnsi"/>
                <w:b/>
                <w:sz w:val="22"/>
                <w:szCs w:val="22"/>
                <w:u w:val="single"/>
              </w:rPr>
            </w:pPr>
            <w:r w:rsidRPr="00DE57B1">
              <w:rPr>
                <w:rFonts w:asciiTheme="majorHAnsi" w:eastAsia="Calibri" w:hAnsiTheme="majorHAnsi" w:cstheme="majorHAnsi"/>
                <w:b/>
                <w:sz w:val="22"/>
                <w:szCs w:val="22"/>
                <w:u w:val="single"/>
              </w:rPr>
              <w:t>Essential Criteria:</w:t>
            </w:r>
          </w:p>
          <w:p w14:paraId="1DF56788" w14:textId="77777777" w:rsidR="00D33F62" w:rsidRPr="00DE57B1" w:rsidRDefault="00D54F30">
            <w:pPr>
              <w:spacing w:before="280"/>
              <w:rPr>
                <w:rFonts w:asciiTheme="majorHAnsi" w:eastAsia="Calibri" w:hAnsiTheme="majorHAnsi" w:cstheme="majorHAnsi"/>
                <w:b/>
                <w:sz w:val="22"/>
                <w:szCs w:val="22"/>
              </w:rPr>
            </w:pPr>
            <w:r w:rsidRPr="00DE57B1">
              <w:rPr>
                <w:rFonts w:asciiTheme="majorHAnsi" w:eastAsia="Calibri" w:hAnsiTheme="majorHAnsi" w:cstheme="majorHAnsi"/>
                <w:b/>
                <w:sz w:val="22"/>
                <w:szCs w:val="22"/>
              </w:rPr>
              <w:t>Values:</w:t>
            </w:r>
          </w:p>
          <w:p w14:paraId="2B788F90" w14:textId="77777777" w:rsidR="0014678A" w:rsidRPr="00DE57B1" w:rsidRDefault="0014678A" w:rsidP="0014678A">
            <w:pPr>
              <w:numPr>
                <w:ilvl w:val="0"/>
                <w:numId w:val="4"/>
              </w:numPr>
              <w:pBdr>
                <w:top w:val="nil"/>
                <w:left w:val="nil"/>
                <w:bottom w:val="nil"/>
                <w:right w:val="nil"/>
                <w:between w:val="nil"/>
              </w:pBdr>
              <w:spacing w:line="276" w:lineRule="auto"/>
              <w:jc w:val="left"/>
              <w:rPr>
                <w:rFonts w:asciiTheme="majorHAnsi" w:eastAsia="Calibri" w:hAnsiTheme="majorHAnsi" w:cstheme="majorHAnsi"/>
                <w:sz w:val="22"/>
                <w:szCs w:val="22"/>
              </w:rPr>
            </w:pPr>
            <w:r w:rsidRPr="00DE57B1">
              <w:rPr>
                <w:rFonts w:asciiTheme="majorHAnsi" w:eastAsia="Calibri" w:hAnsiTheme="majorHAnsi" w:cstheme="majorHAnsi"/>
                <w:sz w:val="22"/>
                <w:szCs w:val="22"/>
              </w:rPr>
              <w:t>Demonstrable evidence of taking pride in delivering professional services and solutions</w:t>
            </w:r>
          </w:p>
          <w:p w14:paraId="10C68540" w14:textId="77777777" w:rsidR="0014678A" w:rsidRPr="00DE57B1" w:rsidRDefault="0014678A" w:rsidP="0014678A">
            <w:pPr>
              <w:numPr>
                <w:ilvl w:val="0"/>
                <w:numId w:val="4"/>
              </w:numPr>
              <w:pBdr>
                <w:top w:val="nil"/>
                <w:left w:val="nil"/>
                <w:bottom w:val="nil"/>
                <w:right w:val="nil"/>
                <w:between w:val="nil"/>
              </w:pBdr>
              <w:spacing w:line="276" w:lineRule="auto"/>
              <w:jc w:val="left"/>
              <w:rPr>
                <w:rFonts w:asciiTheme="majorHAnsi" w:eastAsia="Calibri" w:hAnsiTheme="majorHAnsi" w:cstheme="majorHAnsi"/>
                <w:sz w:val="22"/>
                <w:szCs w:val="22"/>
              </w:rPr>
            </w:pPr>
            <w:r w:rsidRPr="00DE57B1">
              <w:rPr>
                <w:rFonts w:asciiTheme="majorHAnsi" w:eastAsia="Calibri" w:hAnsiTheme="majorHAnsi" w:cstheme="majorHAnsi"/>
                <w:sz w:val="22"/>
                <w:szCs w:val="22"/>
              </w:rPr>
              <w:t>Ability to work together in an environment of equality, trust and respect to deliver services that strive to exceed the needs and expectations of customers</w:t>
            </w:r>
          </w:p>
          <w:p w14:paraId="2BC6BD47" w14:textId="1BA44745" w:rsidR="00C50FF6" w:rsidRPr="0014678A" w:rsidRDefault="0014678A" w:rsidP="0014678A">
            <w:pPr>
              <w:numPr>
                <w:ilvl w:val="0"/>
                <w:numId w:val="4"/>
              </w:numPr>
              <w:pBdr>
                <w:top w:val="nil"/>
                <w:left w:val="nil"/>
                <w:bottom w:val="nil"/>
                <w:right w:val="nil"/>
                <w:between w:val="nil"/>
              </w:pBdr>
              <w:spacing w:line="276" w:lineRule="auto"/>
              <w:jc w:val="left"/>
              <w:rPr>
                <w:rFonts w:asciiTheme="majorHAnsi" w:eastAsia="Calibri" w:hAnsiTheme="majorHAnsi" w:cstheme="majorHAnsi"/>
                <w:sz w:val="22"/>
                <w:szCs w:val="22"/>
              </w:rPr>
            </w:pPr>
            <w:r w:rsidRPr="00DE57B1">
              <w:rPr>
                <w:rFonts w:asciiTheme="majorHAnsi" w:eastAsia="Calibri" w:hAnsiTheme="majorHAnsi" w:cstheme="majorHAnsi"/>
                <w:sz w:val="22"/>
                <w:szCs w:val="22"/>
              </w:rPr>
              <w:t xml:space="preserve">Demonstrable evidence of providing a caring approach to </w:t>
            </w:r>
            <w:proofErr w:type="gramStart"/>
            <w:r w:rsidRPr="00DE57B1">
              <w:rPr>
                <w:rFonts w:asciiTheme="majorHAnsi" w:eastAsia="Calibri" w:hAnsiTheme="majorHAnsi" w:cstheme="majorHAnsi"/>
                <w:sz w:val="22"/>
                <w:szCs w:val="22"/>
              </w:rPr>
              <w:t>all of</w:t>
            </w:r>
            <w:proofErr w:type="gramEnd"/>
            <w:r w:rsidRPr="00DE57B1">
              <w:rPr>
                <w:rFonts w:asciiTheme="majorHAnsi" w:eastAsia="Calibri" w:hAnsiTheme="majorHAnsi" w:cstheme="majorHAnsi"/>
                <w:sz w:val="22"/>
                <w:szCs w:val="22"/>
              </w:rPr>
              <w:t xml:space="preserve"> your customers ensuring a personalised and positive experience </w:t>
            </w:r>
          </w:p>
          <w:p w14:paraId="3B177E76" w14:textId="160BA37B" w:rsidR="00DE57B1" w:rsidRPr="00DE57B1" w:rsidRDefault="00D54F30">
            <w:pPr>
              <w:spacing w:before="280"/>
              <w:rPr>
                <w:rFonts w:asciiTheme="majorHAnsi" w:eastAsia="Calibri" w:hAnsiTheme="majorHAnsi" w:cstheme="majorHAnsi"/>
                <w:b/>
                <w:sz w:val="22"/>
                <w:szCs w:val="22"/>
              </w:rPr>
            </w:pPr>
            <w:r w:rsidRPr="00DE57B1">
              <w:rPr>
                <w:rFonts w:asciiTheme="majorHAnsi" w:eastAsia="Calibri" w:hAnsiTheme="majorHAnsi" w:cstheme="majorHAnsi"/>
                <w:b/>
                <w:sz w:val="22"/>
                <w:szCs w:val="22"/>
              </w:rPr>
              <w:t>Qualification</w:t>
            </w:r>
            <w:r w:rsidR="00C50FF6">
              <w:rPr>
                <w:rFonts w:asciiTheme="majorHAnsi" w:eastAsia="Calibri" w:hAnsiTheme="majorHAnsi" w:cstheme="majorHAnsi"/>
                <w:b/>
                <w:sz w:val="22"/>
                <w:szCs w:val="22"/>
              </w:rPr>
              <w:t>s</w:t>
            </w:r>
            <w:r w:rsidRPr="00DE57B1">
              <w:rPr>
                <w:rFonts w:asciiTheme="majorHAnsi" w:eastAsia="Calibri" w:hAnsiTheme="majorHAnsi" w:cstheme="majorHAnsi"/>
                <w:b/>
                <w:sz w:val="22"/>
                <w:szCs w:val="22"/>
              </w:rPr>
              <w:t>:</w:t>
            </w:r>
          </w:p>
          <w:p w14:paraId="04B8C4D2" w14:textId="77777777" w:rsidR="00DD353E" w:rsidRDefault="00DD353E" w:rsidP="0014678A">
            <w:pPr>
              <w:pStyle w:val="ListParagraph"/>
              <w:numPr>
                <w:ilvl w:val="0"/>
                <w:numId w:val="4"/>
              </w:numPr>
              <w:spacing w:after="80"/>
              <w:jc w:val="left"/>
              <w:rPr>
                <w:rFonts w:asciiTheme="majorHAnsi" w:eastAsia="Calibri" w:hAnsiTheme="majorHAnsi" w:cstheme="majorHAnsi"/>
                <w:sz w:val="22"/>
                <w:szCs w:val="22"/>
              </w:rPr>
            </w:pPr>
            <w:r>
              <w:rPr>
                <w:rFonts w:asciiTheme="majorHAnsi" w:eastAsia="Calibri" w:hAnsiTheme="majorHAnsi" w:cstheme="majorHAnsi"/>
                <w:sz w:val="22"/>
                <w:szCs w:val="22"/>
              </w:rPr>
              <w:t>GCSE Maths and English at Grade C or better</w:t>
            </w:r>
          </w:p>
          <w:p w14:paraId="2540043E" w14:textId="49C05A9E" w:rsidR="00C50FF6" w:rsidRPr="00DD353E" w:rsidRDefault="00D54F30" w:rsidP="0014678A">
            <w:pPr>
              <w:pStyle w:val="ListParagraph"/>
              <w:numPr>
                <w:ilvl w:val="0"/>
                <w:numId w:val="4"/>
              </w:numPr>
              <w:spacing w:after="80"/>
              <w:jc w:val="left"/>
              <w:rPr>
                <w:rFonts w:asciiTheme="majorHAnsi" w:eastAsia="Calibri" w:hAnsiTheme="majorHAnsi" w:cstheme="majorHAnsi"/>
                <w:sz w:val="22"/>
                <w:szCs w:val="22"/>
              </w:rPr>
            </w:pPr>
            <w:r w:rsidRPr="00372022">
              <w:rPr>
                <w:rFonts w:asciiTheme="majorHAnsi" w:eastAsia="Calibri" w:hAnsiTheme="majorHAnsi" w:cstheme="majorHAnsi"/>
                <w:sz w:val="22"/>
                <w:szCs w:val="22"/>
              </w:rPr>
              <w:t>A-level</w:t>
            </w:r>
            <w:r w:rsidR="00DD353E">
              <w:rPr>
                <w:rFonts w:asciiTheme="majorHAnsi" w:eastAsia="Calibri" w:hAnsiTheme="majorHAnsi" w:cstheme="majorHAnsi"/>
                <w:sz w:val="22"/>
                <w:szCs w:val="22"/>
              </w:rPr>
              <w:t>s (</w:t>
            </w:r>
            <w:r w:rsidRPr="00DD353E">
              <w:rPr>
                <w:rFonts w:asciiTheme="majorHAnsi" w:eastAsia="Calibri" w:hAnsiTheme="majorHAnsi" w:cstheme="majorHAnsi"/>
                <w:sz w:val="22"/>
                <w:szCs w:val="22"/>
              </w:rPr>
              <w:t>or demonstrate equivalent work experience</w:t>
            </w:r>
            <w:r w:rsidR="00DD353E">
              <w:rPr>
                <w:rFonts w:asciiTheme="majorHAnsi" w:eastAsia="Calibri" w:hAnsiTheme="majorHAnsi" w:cstheme="majorHAnsi"/>
                <w:sz w:val="22"/>
                <w:szCs w:val="22"/>
              </w:rPr>
              <w:t>)</w:t>
            </w:r>
          </w:p>
          <w:p w14:paraId="7EC4A60B" w14:textId="5922E8BC" w:rsidR="00C50FF6" w:rsidRDefault="00C50FF6" w:rsidP="00C50FF6">
            <w:pPr>
              <w:spacing w:after="80"/>
              <w:jc w:val="left"/>
              <w:rPr>
                <w:rFonts w:asciiTheme="majorHAnsi" w:eastAsia="Calibri" w:hAnsiTheme="majorHAnsi" w:cstheme="majorHAnsi"/>
                <w:sz w:val="22"/>
                <w:szCs w:val="22"/>
              </w:rPr>
            </w:pPr>
          </w:p>
          <w:p w14:paraId="1DF56790" w14:textId="261C792A" w:rsidR="00D33F62" w:rsidRPr="0014678A" w:rsidRDefault="00D54F30">
            <w:pPr>
              <w:spacing w:before="80"/>
              <w:rPr>
                <w:rFonts w:asciiTheme="majorHAnsi" w:eastAsia="Calibri" w:hAnsiTheme="majorHAnsi" w:cstheme="majorHAnsi"/>
                <w:b/>
                <w:iCs/>
                <w:sz w:val="22"/>
                <w:szCs w:val="22"/>
              </w:rPr>
            </w:pPr>
            <w:r w:rsidRPr="0014678A">
              <w:rPr>
                <w:rFonts w:asciiTheme="majorHAnsi" w:eastAsia="Calibri" w:hAnsiTheme="majorHAnsi" w:cstheme="majorHAnsi"/>
                <w:b/>
                <w:iCs/>
                <w:sz w:val="22"/>
                <w:szCs w:val="22"/>
              </w:rPr>
              <w:t>Experience:</w:t>
            </w:r>
          </w:p>
          <w:p w14:paraId="1DF56791" w14:textId="6523B910" w:rsidR="00D33F62" w:rsidRPr="00372022" w:rsidRDefault="00D54F30" w:rsidP="0014678A">
            <w:pPr>
              <w:pStyle w:val="ListParagraph"/>
              <w:numPr>
                <w:ilvl w:val="0"/>
                <w:numId w:val="4"/>
              </w:numPr>
              <w:pBdr>
                <w:top w:val="nil"/>
                <w:left w:val="nil"/>
                <w:bottom w:val="nil"/>
                <w:right w:val="nil"/>
                <w:between w:val="nil"/>
              </w:pBdr>
              <w:spacing w:before="280"/>
              <w:jc w:val="left"/>
              <w:rPr>
                <w:rFonts w:asciiTheme="majorHAnsi" w:eastAsia="Calibri" w:hAnsiTheme="majorHAnsi" w:cstheme="majorHAnsi"/>
                <w:sz w:val="22"/>
                <w:szCs w:val="22"/>
              </w:rPr>
            </w:pPr>
            <w:r w:rsidRPr="00372022">
              <w:rPr>
                <w:rFonts w:asciiTheme="majorHAnsi" w:eastAsia="Calibri" w:hAnsiTheme="majorHAnsi" w:cstheme="majorHAnsi"/>
                <w:sz w:val="22"/>
                <w:szCs w:val="22"/>
              </w:rPr>
              <w:t>Experience of understanding procedures and regulations</w:t>
            </w:r>
            <w:r w:rsidR="00372022" w:rsidRPr="00372022">
              <w:rPr>
                <w:rFonts w:asciiTheme="majorHAnsi" w:eastAsia="Calibri" w:hAnsiTheme="majorHAnsi" w:cstheme="majorHAnsi"/>
                <w:sz w:val="22"/>
                <w:szCs w:val="22"/>
              </w:rPr>
              <w:t xml:space="preserve"> within your </w:t>
            </w:r>
            <w:r w:rsidR="00674694" w:rsidRPr="00372022">
              <w:rPr>
                <w:rFonts w:asciiTheme="majorHAnsi" w:eastAsia="Calibri" w:hAnsiTheme="majorHAnsi" w:cstheme="majorHAnsi"/>
                <w:sz w:val="22"/>
                <w:szCs w:val="22"/>
              </w:rPr>
              <w:t>workplace</w:t>
            </w:r>
            <w:r w:rsidRPr="00372022">
              <w:rPr>
                <w:rFonts w:asciiTheme="majorHAnsi" w:eastAsia="Calibri" w:hAnsiTheme="majorHAnsi" w:cstheme="majorHAnsi"/>
                <w:sz w:val="22"/>
                <w:szCs w:val="22"/>
              </w:rPr>
              <w:t xml:space="preserve"> and applying </w:t>
            </w:r>
            <w:r w:rsidR="00372022" w:rsidRPr="00372022">
              <w:rPr>
                <w:rFonts w:asciiTheme="majorHAnsi" w:eastAsia="Calibri" w:hAnsiTheme="majorHAnsi" w:cstheme="majorHAnsi"/>
                <w:sz w:val="22"/>
                <w:szCs w:val="22"/>
              </w:rPr>
              <w:t>these to your role</w:t>
            </w:r>
          </w:p>
          <w:p w14:paraId="6F0232BC" w14:textId="77777777" w:rsidR="0014678A" w:rsidRDefault="00372022" w:rsidP="0014678A">
            <w:pPr>
              <w:pStyle w:val="ListParagraph"/>
              <w:numPr>
                <w:ilvl w:val="0"/>
                <w:numId w:val="4"/>
              </w:numPr>
              <w:pBdr>
                <w:top w:val="nil"/>
                <w:left w:val="nil"/>
                <w:bottom w:val="nil"/>
                <w:right w:val="nil"/>
                <w:between w:val="nil"/>
              </w:pBdr>
              <w:spacing w:after="200"/>
              <w:jc w:val="left"/>
              <w:rPr>
                <w:rFonts w:asciiTheme="majorHAnsi" w:eastAsia="Calibri" w:hAnsiTheme="majorHAnsi" w:cstheme="majorHAnsi"/>
                <w:sz w:val="22"/>
                <w:szCs w:val="22"/>
              </w:rPr>
            </w:pPr>
            <w:r w:rsidRPr="00372022">
              <w:rPr>
                <w:rFonts w:asciiTheme="majorHAnsi" w:eastAsia="Calibri" w:hAnsiTheme="majorHAnsi" w:cstheme="majorHAnsi"/>
                <w:sz w:val="22"/>
                <w:szCs w:val="22"/>
              </w:rPr>
              <w:t>A</w:t>
            </w:r>
            <w:r w:rsidR="00D54F30" w:rsidRPr="00372022">
              <w:rPr>
                <w:rFonts w:asciiTheme="majorHAnsi" w:eastAsia="Calibri" w:hAnsiTheme="majorHAnsi" w:cstheme="majorHAnsi"/>
                <w:sz w:val="22"/>
                <w:szCs w:val="22"/>
              </w:rPr>
              <w:t xml:space="preserve">bility to </w:t>
            </w:r>
            <w:r w:rsidR="00D00DEE">
              <w:rPr>
                <w:rFonts w:asciiTheme="majorHAnsi" w:eastAsia="Calibri" w:hAnsiTheme="majorHAnsi" w:cstheme="majorHAnsi"/>
                <w:sz w:val="22"/>
                <w:szCs w:val="22"/>
              </w:rPr>
              <w:t>administer</w:t>
            </w:r>
            <w:r w:rsidR="00D54F30" w:rsidRPr="00372022">
              <w:rPr>
                <w:rFonts w:asciiTheme="majorHAnsi" w:eastAsia="Calibri" w:hAnsiTheme="majorHAnsi" w:cstheme="majorHAnsi"/>
                <w:sz w:val="22"/>
                <w:szCs w:val="22"/>
              </w:rPr>
              <w:t xml:space="preserve"> a large volume of work, to a high degree of</w:t>
            </w:r>
            <w:r w:rsidRPr="00372022">
              <w:rPr>
                <w:rFonts w:asciiTheme="majorHAnsi" w:eastAsia="Calibri" w:hAnsiTheme="majorHAnsi" w:cstheme="majorHAnsi"/>
                <w:sz w:val="22"/>
                <w:szCs w:val="22"/>
              </w:rPr>
              <w:t xml:space="preserve"> accuracy</w:t>
            </w:r>
            <w:r w:rsidR="00D54F30" w:rsidRPr="00372022">
              <w:rPr>
                <w:rFonts w:asciiTheme="majorHAnsi" w:eastAsia="Calibri" w:hAnsiTheme="majorHAnsi" w:cstheme="majorHAnsi"/>
                <w:sz w:val="22"/>
                <w:szCs w:val="22"/>
              </w:rPr>
              <w:t>.</w:t>
            </w:r>
          </w:p>
          <w:p w14:paraId="596E6EAC" w14:textId="346E9605" w:rsidR="0014678A" w:rsidRDefault="0014678A" w:rsidP="0014678A">
            <w:pPr>
              <w:pStyle w:val="ListParagraph"/>
              <w:numPr>
                <w:ilvl w:val="0"/>
                <w:numId w:val="4"/>
              </w:numPr>
              <w:pBdr>
                <w:top w:val="nil"/>
                <w:left w:val="nil"/>
                <w:bottom w:val="nil"/>
                <w:right w:val="nil"/>
                <w:between w:val="nil"/>
              </w:pBdr>
              <w:spacing w:after="200"/>
              <w:jc w:val="left"/>
              <w:rPr>
                <w:rFonts w:asciiTheme="majorHAnsi" w:eastAsia="Calibri" w:hAnsiTheme="majorHAnsi" w:cstheme="majorHAnsi"/>
                <w:sz w:val="22"/>
                <w:szCs w:val="22"/>
              </w:rPr>
            </w:pPr>
            <w:r>
              <w:rPr>
                <w:rFonts w:asciiTheme="majorHAnsi" w:eastAsia="Calibri" w:hAnsiTheme="majorHAnsi" w:cstheme="majorHAnsi"/>
                <w:sz w:val="22"/>
                <w:szCs w:val="22"/>
              </w:rPr>
              <w:t>Experience of working within a customer focused service, where tasks</w:t>
            </w:r>
            <w:r w:rsidRPr="0014678A">
              <w:rPr>
                <w:rFonts w:asciiTheme="majorHAnsi" w:eastAsia="Calibri" w:hAnsiTheme="majorHAnsi" w:cstheme="majorHAnsi"/>
                <w:sz w:val="22"/>
                <w:szCs w:val="22"/>
              </w:rPr>
              <w:t xml:space="preserve"> have been</w:t>
            </w:r>
            <w:r>
              <w:rPr>
                <w:rFonts w:asciiTheme="majorHAnsi" w:eastAsia="Calibri" w:hAnsiTheme="majorHAnsi" w:cstheme="majorHAnsi"/>
                <w:sz w:val="22"/>
                <w:szCs w:val="22"/>
              </w:rPr>
              <w:t xml:space="preserve"> required to</w:t>
            </w:r>
            <w:r w:rsidRPr="0014678A">
              <w:rPr>
                <w:rFonts w:asciiTheme="majorHAnsi" w:eastAsia="Calibri" w:hAnsiTheme="majorHAnsi" w:cstheme="majorHAnsi"/>
                <w:sz w:val="22"/>
                <w:szCs w:val="22"/>
              </w:rPr>
              <w:t xml:space="preserve"> delivered on time and to the agreed level. </w:t>
            </w:r>
          </w:p>
          <w:p w14:paraId="2B773E2C" w14:textId="5F81EA70" w:rsidR="0014678A" w:rsidRPr="0014678A" w:rsidRDefault="0014678A" w:rsidP="0014678A">
            <w:pPr>
              <w:pStyle w:val="ListParagraph"/>
              <w:numPr>
                <w:ilvl w:val="0"/>
                <w:numId w:val="4"/>
              </w:numPr>
              <w:pBdr>
                <w:top w:val="nil"/>
                <w:left w:val="nil"/>
                <w:bottom w:val="nil"/>
                <w:right w:val="nil"/>
                <w:between w:val="nil"/>
              </w:pBdr>
              <w:jc w:val="left"/>
              <w:rPr>
                <w:rFonts w:asciiTheme="majorHAnsi" w:eastAsia="Calibri" w:hAnsiTheme="majorHAnsi" w:cstheme="majorHAnsi"/>
                <w:sz w:val="22"/>
                <w:szCs w:val="22"/>
              </w:rPr>
            </w:pPr>
            <w:r w:rsidRPr="0014678A">
              <w:rPr>
                <w:rFonts w:asciiTheme="majorHAnsi" w:eastAsia="Calibri" w:hAnsiTheme="majorHAnsi" w:cstheme="majorHAnsi"/>
                <w:sz w:val="22"/>
                <w:szCs w:val="22"/>
              </w:rPr>
              <w:t xml:space="preserve">Evidence of </w:t>
            </w:r>
            <w:r>
              <w:rPr>
                <w:rFonts w:asciiTheme="majorHAnsi" w:eastAsia="Calibri" w:hAnsiTheme="majorHAnsi" w:cstheme="majorHAnsi"/>
                <w:sz w:val="22"/>
                <w:szCs w:val="22"/>
              </w:rPr>
              <w:t xml:space="preserve">working </w:t>
            </w:r>
            <w:r w:rsidRPr="00372022">
              <w:rPr>
                <w:rFonts w:asciiTheme="majorHAnsi" w:eastAsia="Calibri" w:hAnsiTheme="majorHAnsi" w:cstheme="majorHAnsi"/>
                <w:sz w:val="22"/>
                <w:szCs w:val="22"/>
              </w:rPr>
              <w:t>as part of a team that delivered a service that exceeded the needs and expectations of your customers</w:t>
            </w:r>
          </w:p>
          <w:p w14:paraId="747814C9" w14:textId="77777777" w:rsidR="0014678A" w:rsidRDefault="0014678A">
            <w:pPr>
              <w:spacing w:before="280"/>
              <w:rPr>
                <w:rFonts w:asciiTheme="majorHAnsi" w:eastAsia="Calibri" w:hAnsiTheme="majorHAnsi" w:cstheme="majorHAnsi"/>
                <w:b/>
                <w:i/>
                <w:sz w:val="22"/>
                <w:szCs w:val="22"/>
              </w:rPr>
            </w:pPr>
          </w:p>
          <w:p w14:paraId="1DF56795" w14:textId="043B5D54" w:rsidR="00D33F62" w:rsidRPr="0014678A" w:rsidRDefault="00D54F30">
            <w:pPr>
              <w:spacing w:before="280"/>
              <w:rPr>
                <w:rFonts w:asciiTheme="majorHAnsi" w:eastAsia="Calibri" w:hAnsiTheme="majorHAnsi" w:cstheme="majorHAnsi"/>
                <w:b/>
                <w:iCs/>
                <w:sz w:val="22"/>
                <w:szCs w:val="22"/>
              </w:rPr>
            </w:pPr>
            <w:r w:rsidRPr="0014678A">
              <w:rPr>
                <w:rFonts w:asciiTheme="majorHAnsi" w:eastAsia="Calibri" w:hAnsiTheme="majorHAnsi" w:cstheme="majorHAnsi"/>
                <w:b/>
                <w:iCs/>
                <w:sz w:val="22"/>
                <w:szCs w:val="22"/>
              </w:rPr>
              <w:t>Knowledge and Skills:</w:t>
            </w:r>
          </w:p>
          <w:p w14:paraId="1DF56796" w14:textId="43D0CEE2" w:rsidR="00D33F62" w:rsidRPr="00372022" w:rsidRDefault="00D54F30" w:rsidP="0014678A">
            <w:pPr>
              <w:pStyle w:val="ListParagraph"/>
              <w:numPr>
                <w:ilvl w:val="0"/>
                <w:numId w:val="4"/>
              </w:numPr>
              <w:pBdr>
                <w:top w:val="nil"/>
                <w:left w:val="nil"/>
                <w:bottom w:val="nil"/>
                <w:right w:val="nil"/>
                <w:between w:val="nil"/>
              </w:pBdr>
              <w:spacing w:before="280"/>
              <w:jc w:val="left"/>
              <w:rPr>
                <w:rFonts w:asciiTheme="majorHAnsi" w:eastAsia="Calibri" w:hAnsiTheme="majorHAnsi" w:cstheme="majorHAnsi"/>
                <w:sz w:val="22"/>
                <w:szCs w:val="22"/>
              </w:rPr>
            </w:pPr>
            <w:r w:rsidRPr="00372022">
              <w:rPr>
                <w:rFonts w:asciiTheme="majorHAnsi" w:eastAsia="Calibri" w:hAnsiTheme="majorHAnsi" w:cstheme="majorHAnsi"/>
                <w:sz w:val="22"/>
                <w:szCs w:val="22"/>
              </w:rPr>
              <w:t>Excellent ICT skills including</w:t>
            </w:r>
            <w:r w:rsidR="00495715" w:rsidRPr="00372022">
              <w:rPr>
                <w:rFonts w:asciiTheme="majorHAnsi" w:eastAsia="Calibri" w:hAnsiTheme="majorHAnsi" w:cstheme="majorHAnsi"/>
                <w:sz w:val="22"/>
                <w:szCs w:val="22"/>
              </w:rPr>
              <w:t xml:space="preserve"> experience of using databases</w:t>
            </w:r>
            <w:r w:rsidR="00D96284">
              <w:rPr>
                <w:rFonts w:asciiTheme="majorHAnsi" w:eastAsia="Calibri" w:hAnsiTheme="majorHAnsi" w:cstheme="majorHAnsi"/>
                <w:sz w:val="22"/>
                <w:szCs w:val="22"/>
              </w:rPr>
              <w:t xml:space="preserve"> and Microsoft Office</w:t>
            </w:r>
            <w:r w:rsidR="00CD021B" w:rsidRPr="00372022">
              <w:rPr>
                <w:rFonts w:asciiTheme="majorHAnsi" w:eastAsia="Calibri" w:hAnsiTheme="majorHAnsi" w:cstheme="majorHAnsi"/>
                <w:sz w:val="22"/>
                <w:szCs w:val="22"/>
              </w:rPr>
              <w:t>.</w:t>
            </w:r>
          </w:p>
          <w:p w14:paraId="1DF56797" w14:textId="77777777" w:rsidR="00D33F62" w:rsidRPr="00372022" w:rsidRDefault="00D54F30" w:rsidP="0014678A">
            <w:pPr>
              <w:pStyle w:val="ListParagraph"/>
              <w:numPr>
                <w:ilvl w:val="0"/>
                <w:numId w:val="4"/>
              </w:numPr>
              <w:pBdr>
                <w:top w:val="nil"/>
                <w:left w:val="nil"/>
                <w:bottom w:val="nil"/>
                <w:right w:val="nil"/>
                <w:between w:val="nil"/>
              </w:pBdr>
              <w:jc w:val="left"/>
              <w:rPr>
                <w:rFonts w:asciiTheme="majorHAnsi" w:eastAsia="Calibri" w:hAnsiTheme="majorHAnsi" w:cstheme="majorHAnsi"/>
                <w:sz w:val="22"/>
                <w:szCs w:val="22"/>
              </w:rPr>
            </w:pPr>
            <w:r w:rsidRPr="00372022">
              <w:rPr>
                <w:rFonts w:asciiTheme="majorHAnsi" w:eastAsia="Calibri" w:hAnsiTheme="majorHAnsi" w:cstheme="majorHAnsi"/>
                <w:sz w:val="22"/>
                <w:szCs w:val="22"/>
              </w:rPr>
              <w:t xml:space="preserve">Excellent organisational skills and the ability to work independently using own initiative, multi-task to achieve deadlines and work well under pressure. </w:t>
            </w:r>
          </w:p>
          <w:p w14:paraId="1DF56799" w14:textId="750652A2" w:rsidR="00D33F62" w:rsidRPr="00372022" w:rsidRDefault="00D54F30" w:rsidP="0014678A">
            <w:pPr>
              <w:pStyle w:val="ListParagraph"/>
              <w:numPr>
                <w:ilvl w:val="0"/>
                <w:numId w:val="4"/>
              </w:numPr>
              <w:pBdr>
                <w:top w:val="nil"/>
                <w:left w:val="nil"/>
                <w:bottom w:val="nil"/>
                <w:right w:val="nil"/>
                <w:between w:val="nil"/>
              </w:pBdr>
              <w:jc w:val="left"/>
              <w:rPr>
                <w:rFonts w:asciiTheme="majorHAnsi" w:eastAsia="Calibri" w:hAnsiTheme="majorHAnsi" w:cstheme="majorHAnsi"/>
                <w:sz w:val="22"/>
                <w:szCs w:val="22"/>
              </w:rPr>
            </w:pPr>
            <w:r w:rsidRPr="00372022">
              <w:rPr>
                <w:rFonts w:asciiTheme="majorHAnsi" w:eastAsia="Calibri" w:hAnsiTheme="majorHAnsi" w:cstheme="majorHAnsi"/>
                <w:sz w:val="22"/>
                <w:szCs w:val="22"/>
              </w:rPr>
              <w:t xml:space="preserve">Evidence of working with others to focus on continuous improvement, </w:t>
            </w:r>
            <w:r w:rsidR="00372022" w:rsidRPr="00372022">
              <w:rPr>
                <w:rFonts w:asciiTheme="majorHAnsi" w:eastAsia="Calibri" w:hAnsiTheme="majorHAnsi" w:cstheme="majorHAnsi"/>
                <w:sz w:val="22"/>
                <w:szCs w:val="22"/>
              </w:rPr>
              <w:t>whilst</w:t>
            </w:r>
            <w:r w:rsidRPr="00372022">
              <w:rPr>
                <w:rFonts w:asciiTheme="majorHAnsi" w:eastAsia="Calibri" w:hAnsiTheme="majorHAnsi" w:cstheme="majorHAnsi"/>
                <w:sz w:val="22"/>
                <w:szCs w:val="22"/>
              </w:rPr>
              <w:t xml:space="preserve"> achieving and maintaining quality outcomes. </w:t>
            </w:r>
          </w:p>
          <w:p w14:paraId="1DF5679A" w14:textId="15DB668A" w:rsidR="00D33F62" w:rsidRPr="00372022" w:rsidRDefault="00D54F30" w:rsidP="0014678A">
            <w:pPr>
              <w:pStyle w:val="ListParagraph"/>
              <w:numPr>
                <w:ilvl w:val="0"/>
                <w:numId w:val="4"/>
              </w:numPr>
              <w:pBdr>
                <w:top w:val="nil"/>
                <w:left w:val="nil"/>
                <w:bottom w:val="nil"/>
                <w:right w:val="nil"/>
                <w:between w:val="nil"/>
              </w:pBdr>
              <w:spacing w:after="200"/>
              <w:jc w:val="left"/>
              <w:rPr>
                <w:rFonts w:asciiTheme="majorHAnsi" w:eastAsia="Calibri" w:hAnsiTheme="majorHAnsi" w:cstheme="majorHAnsi"/>
                <w:sz w:val="22"/>
                <w:szCs w:val="22"/>
              </w:rPr>
            </w:pPr>
            <w:r w:rsidRPr="00372022">
              <w:rPr>
                <w:rFonts w:asciiTheme="majorHAnsi" w:eastAsia="Calibri" w:hAnsiTheme="majorHAnsi" w:cstheme="majorHAnsi"/>
                <w:sz w:val="22"/>
                <w:szCs w:val="22"/>
              </w:rPr>
              <w:t xml:space="preserve">Evidence of actively seeking and acting upon feedback to </w:t>
            </w:r>
            <w:r w:rsidR="00372022" w:rsidRPr="00372022">
              <w:rPr>
                <w:rFonts w:asciiTheme="majorHAnsi" w:eastAsia="Calibri" w:hAnsiTheme="majorHAnsi" w:cstheme="majorHAnsi"/>
                <w:sz w:val="22"/>
                <w:szCs w:val="22"/>
              </w:rPr>
              <w:t>improve the way you undertake your work</w:t>
            </w:r>
            <w:r w:rsidRPr="00372022">
              <w:rPr>
                <w:rFonts w:asciiTheme="majorHAnsi" w:eastAsia="Calibri" w:hAnsiTheme="majorHAnsi" w:cstheme="majorHAnsi"/>
                <w:sz w:val="22"/>
                <w:szCs w:val="22"/>
              </w:rPr>
              <w:t>.</w:t>
            </w:r>
          </w:p>
          <w:p w14:paraId="1DF5679B" w14:textId="77777777" w:rsidR="00D33F62" w:rsidRPr="00DE57B1" w:rsidRDefault="00D54F30">
            <w:pPr>
              <w:spacing w:before="280"/>
              <w:rPr>
                <w:rFonts w:asciiTheme="majorHAnsi" w:eastAsia="Calibri" w:hAnsiTheme="majorHAnsi" w:cstheme="majorHAnsi"/>
                <w:b/>
                <w:sz w:val="22"/>
                <w:szCs w:val="22"/>
                <w:u w:val="single"/>
              </w:rPr>
            </w:pPr>
            <w:r w:rsidRPr="00DE57B1">
              <w:rPr>
                <w:rFonts w:asciiTheme="majorHAnsi" w:eastAsia="Calibri" w:hAnsiTheme="majorHAnsi" w:cstheme="majorHAnsi"/>
                <w:b/>
                <w:sz w:val="22"/>
                <w:szCs w:val="22"/>
                <w:u w:val="single"/>
              </w:rPr>
              <w:t>Desirable Criteria:</w:t>
            </w:r>
          </w:p>
          <w:p w14:paraId="1DF5679C" w14:textId="6E63F9FA" w:rsidR="00D33F62" w:rsidRPr="00372022" w:rsidRDefault="00D54F30" w:rsidP="0014678A">
            <w:pPr>
              <w:pStyle w:val="ListParagraph"/>
              <w:numPr>
                <w:ilvl w:val="0"/>
                <w:numId w:val="4"/>
              </w:numPr>
              <w:pBdr>
                <w:top w:val="nil"/>
                <w:left w:val="nil"/>
                <w:bottom w:val="nil"/>
                <w:right w:val="nil"/>
                <w:between w:val="nil"/>
              </w:pBdr>
              <w:spacing w:before="280"/>
              <w:jc w:val="left"/>
              <w:rPr>
                <w:rFonts w:asciiTheme="majorHAnsi" w:eastAsia="Calibri" w:hAnsiTheme="majorHAnsi" w:cstheme="majorHAnsi"/>
                <w:sz w:val="22"/>
                <w:szCs w:val="22"/>
              </w:rPr>
            </w:pPr>
            <w:r w:rsidRPr="00372022">
              <w:rPr>
                <w:rFonts w:asciiTheme="majorHAnsi" w:eastAsia="Calibri" w:hAnsiTheme="majorHAnsi" w:cstheme="majorHAnsi"/>
                <w:sz w:val="22"/>
                <w:szCs w:val="22"/>
              </w:rPr>
              <w:t>Experience of HE or FE admissions</w:t>
            </w:r>
          </w:p>
          <w:p w14:paraId="1DF5679E" w14:textId="41095A38" w:rsidR="00D33F62" w:rsidRPr="00372022" w:rsidRDefault="00CD021B" w:rsidP="0014678A">
            <w:pPr>
              <w:pStyle w:val="ListParagraph"/>
              <w:numPr>
                <w:ilvl w:val="0"/>
                <w:numId w:val="4"/>
              </w:numPr>
              <w:pBdr>
                <w:top w:val="nil"/>
                <w:left w:val="nil"/>
                <w:bottom w:val="nil"/>
                <w:right w:val="nil"/>
                <w:between w:val="nil"/>
              </w:pBdr>
              <w:jc w:val="left"/>
              <w:rPr>
                <w:rFonts w:asciiTheme="majorHAnsi" w:eastAsia="Calibri" w:hAnsiTheme="majorHAnsi" w:cstheme="majorHAnsi"/>
                <w:sz w:val="22"/>
                <w:szCs w:val="22"/>
              </w:rPr>
            </w:pPr>
            <w:r w:rsidRPr="00372022">
              <w:rPr>
                <w:rFonts w:asciiTheme="majorHAnsi" w:eastAsia="Calibri" w:hAnsiTheme="majorHAnsi" w:cstheme="majorHAnsi"/>
                <w:sz w:val="22"/>
                <w:szCs w:val="22"/>
              </w:rPr>
              <w:t>The a</w:t>
            </w:r>
            <w:r w:rsidR="00D54F30" w:rsidRPr="00372022">
              <w:rPr>
                <w:rFonts w:asciiTheme="majorHAnsi" w:eastAsia="Calibri" w:hAnsiTheme="majorHAnsi" w:cstheme="majorHAnsi"/>
                <w:sz w:val="22"/>
                <w:szCs w:val="22"/>
              </w:rPr>
              <w:t xml:space="preserve">bility to communicate </w:t>
            </w:r>
            <w:r w:rsidRPr="00372022">
              <w:rPr>
                <w:rFonts w:asciiTheme="majorHAnsi" w:eastAsia="Calibri" w:hAnsiTheme="majorHAnsi" w:cstheme="majorHAnsi"/>
                <w:sz w:val="22"/>
                <w:szCs w:val="22"/>
              </w:rPr>
              <w:t xml:space="preserve">through the medium of </w:t>
            </w:r>
            <w:r w:rsidR="00D54F30" w:rsidRPr="00372022">
              <w:rPr>
                <w:rFonts w:asciiTheme="majorHAnsi" w:eastAsia="Calibri" w:hAnsiTheme="majorHAnsi" w:cstheme="majorHAnsi"/>
                <w:sz w:val="22"/>
                <w:szCs w:val="22"/>
              </w:rPr>
              <w:t>Welsh</w:t>
            </w:r>
          </w:p>
          <w:p w14:paraId="1DF5679F" w14:textId="77777777" w:rsidR="00D33F62" w:rsidRPr="00DE57B1" w:rsidRDefault="00D33F62">
            <w:pPr>
              <w:pBdr>
                <w:top w:val="nil"/>
                <w:left w:val="nil"/>
                <w:bottom w:val="nil"/>
                <w:right w:val="nil"/>
                <w:between w:val="nil"/>
              </w:pBdr>
              <w:spacing w:line="276" w:lineRule="auto"/>
              <w:ind w:left="360"/>
              <w:jc w:val="left"/>
              <w:rPr>
                <w:rFonts w:asciiTheme="majorHAnsi" w:eastAsia="Calibri" w:hAnsiTheme="majorHAnsi" w:cstheme="majorHAnsi"/>
                <w:sz w:val="22"/>
                <w:szCs w:val="22"/>
              </w:rPr>
            </w:pPr>
          </w:p>
        </w:tc>
      </w:tr>
      <w:tr w:rsidR="00C9006C" w:rsidRPr="00DE57B1" w14:paraId="7363ACAB" w14:textId="77777777">
        <w:tc>
          <w:tcPr>
            <w:tcW w:w="1560" w:type="dxa"/>
            <w:shd w:val="clear" w:color="auto" w:fill="366091"/>
            <w:vAlign w:val="center"/>
          </w:tcPr>
          <w:p w14:paraId="7D21D957" w14:textId="1E69B0F8" w:rsidR="00C9006C" w:rsidRPr="00BF15A6" w:rsidRDefault="00C9006C">
            <w:pPr>
              <w:spacing w:before="240" w:after="240"/>
              <w:jc w:val="left"/>
              <w:rPr>
                <w:rFonts w:asciiTheme="majorHAnsi" w:eastAsia="Calibri" w:hAnsiTheme="majorHAnsi" w:cstheme="majorHAnsi"/>
                <w:b/>
                <w:color w:val="FFFFFF"/>
                <w:sz w:val="22"/>
                <w:szCs w:val="22"/>
              </w:rPr>
            </w:pPr>
            <w:r>
              <w:rPr>
                <w:rFonts w:asciiTheme="majorHAnsi" w:eastAsia="Calibri" w:hAnsiTheme="majorHAnsi" w:cstheme="majorHAnsi"/>
                <w:b/>
                <w:color w:val="FFFFFF"/>
                <w:sz w:val="22"/>
                <w:szCs w:val="22"/>
              </w:rPr>
              <w:lastRenderedPageBreak/>
              <w:t>Welsh Language Level</w:t>
            </w:r>
          </w:p>
        </w:tc>
        <w:tc>
          <w:tcPr>
            <w:tcW w:w="9356" w:type="dxa"/>
          </w:tcPr>
          <w:p w14:paraId="7E68D172" w14:textId="77777777" w:rsidR="00C9006C" w:rsidRPr="00C9006C" w:rsidRDefault="00C9006C" w:rsidP="00C9006C">
            <w:pPr>
              <w:pStyle w:val="Default"/>
              <w:jc w:val="both"/>
              <w:rPr>
                <w:sz w:val="22"/>
                <w:szCs w:val="22"/>
              </w:rPr>
            </w:pPr>
            <w:r w:rsidRPr="00C9006C">
              <w:rPr>
                <w:sz w:val="22"/>
                <w:szCs w:val="22"/>
              </w:rPr>
              <w:t xml:space="preserve">Level 1 – ‘a little’ - pronounce Welsh words. Able to answer the phone in Welsh (good morning / afternoon). Able to use very basic every-day words and phrases (thank you, please etc.). Level 1 can be reached by completing a one-hour training course. </w:t>
            </w:r>
          </w:p>
          <w:p w14:paraId="00971D95" w14:textId="77777777" w:rsidR="00C9006C" w:rsidRPr="00C9006C" w:rsidRDefault="00C9006C" w:rsidP="00C9006C">
            <w:pPr>
              <w:pStyle w:val="Default"/>
              <w:jc w:val="both"/>
              <w:rPr>
                <w:sz w:val="22"/>
                <w:szCs w:val="22"/>
              </w:rPr>
            </w:pPr>
          </w:p>
          <w:p w14:paraId="169BD5BF" w14:textId="7493BCA3" w:rsidR="00C9006C" w:rsidRPr="00BF15A6" w:rsidRDefault="00C9006C" w:rsidP="00C9006C">
            <w:pPr>
              <w:pStyle w:val="Default"/>
              <w:jc w:val="both"/>
              <w:rPr>
                <w:rFonts w:asciiTheme="majorHAnsi" w:eastAsia="Calibri" w:hAnsiTheme="majorHAnsi" w:cstheme="majorHAnsi"/>
                <w:b/>
                <w:sz w:val="22"/>
                <w:szCs w:val="22"/>
              </w:rPr>
            </w:pPr>
            <w:r w:rsidRPr="00C9006C">
              <w:rPr>
                <w:sz w:val="22"/>
                <w:szCs w:val="22"/>
              </w:rPr>
              <w:t xml:space="preserve">For more information about the Welsh Language Levels please refer to the Welsh Language Skills Assessment web page, which is available </w:t>
            </w:r>
            <w:hyperlink r:id="rId10" w:history="1">
              <w:r w:rsidRPr="00C9006C">
                <w:rPr>
                  <w:rStyle w:val="Hyperlink"/>
                  <w:sz w:val="22"/>
                  <w:szCs w:val="22"/>
                </w:rPr>
                <w:t>here</w:t>
              </w:r>
            </w:hyperlink>
          </w:p>
        </w:tc>
      </w:tr>
      <w:tr w:rsidR="00D33F62" w:rsidRPr="00DE57B1" w14:paraId="1DF567A6" w14:textId="77777777">
        <w:tc>
          <w:tcPr>
            <w:tcW w:w="1560" w:type="dxa"/>
            <w:shd w:val="clear" w:color="auto" w:fill="366091"/>
            <w:vAlign w:val="center"/>
          </w:tcPr>
          <w:p w14:paraId="1DF567A1" w14:textId="77777777" w:rsidR="00D33F62" w:rsidRPr="00BF15A6" w:rsidRDefault="00D54F30">
            <w:pPr>
              <w:spacing w:before="240" w:after="240"/>
              <w:jc w:val="left"/>
              <w:rPr>
                <w:rFonts w:asciiTheme="majorHAnsi" w:eastAsia="Calibri" w:hAnsiTheme="majorHAnsi" w:cstheme="majorHAnsi"/>
                <w:b/>
                <w:sz w:val="22"/>
                <w:szCs w:val="22"/>
              </w:rPr>
            </w:pPr>
            <w:r w:rsidRPr="00BF15A6">
              <w:rPr>
                <w:rFonts w:asciiTheme="majorHAnsi" w:eastAsia="Calibri" w:hAnsiTheme="majorHAnsi" w:cstheme="majorHAnsi"/>
                <w:b/>
                <w:color w:val="FFFFFF"/>
                <w:sz w:val="22"/>
                <w:szCs w:val="22"/>
              </w:rPr>
              <w:t>Additional Information</w:t>
            </w:r>
          </w:p>
        </w:tc>
        <w:tc>
          <w:tcPr>
            <w:tcW w:w="9356" w:type="dxa"/>
          </w:tcPr>
          <w:p w14:paraId="4A9C6C99" w14:textId="6102443E" w:rsidR="00D33F62" w:rsidRPr="00C9006C" w:rsidRDefault="00C9006C" w:rsidP="007C6A26">
            <w:pPr>
              <w:spacing w:before="280"/>
              <w:rPr>
                <w:rFonts w:asciiTheme="majorHAnsi" w:eastAsia="Calibri" w:hAnsiTheme="majorHAnsi" w:cstheme="majorHAnsi"/>
                <w:bCs/>
                <w:sz w:val="22"/>
                <w:szCs w:val="22"/>
              </w:rPr>
            </w:pPr>
            <w:r w:rsidRPr="00C9006C">
              <w:rPr>
                <w:rFonts w:asciiTheme="majorHAnsi" w:eastAsia="Calibri" w:hAnsiTheme="majorHAnsi" w:cstheme="majorHAnsi"/>
                <w:bCs/>
                <w:sz w:val="22"/>
                <w:szCs w:val="22"/>
              </w:rPr>
              <w:t xml:space="preserve">Informal enquiries: Kate Borland </w:t>
            </w:r>
            <w:hyperlink r:id="rId11" w:history="1">
              <w:r w:rsidRPr="00C9006C">
                <w:rPr>
                  <w:rStyle w:val="Hyperlink"/>
                  <w:rFonts w:asciiTheme="majorHAnsi" w:eastAsia="Calibri" w:hAnsiTheme="majorHAnsi" w:cstheme="majorHAnsi"/>
                  <w:bCs/>
                  <w:sz w:val="22"/>
                  <w:szCs w:val="22"/>
                </w:rPr>
                <w:t>k.borland@swansea.ac.uk</w:t>
              </w:r>
            </w:hyperlink>
          </w:p>
          <w:p w14:paraId="79E98D24" w14:textId="0EB0E03F" w:rsidR="00C9006C" w:rsidRPr="00C9006C" w:rsidRDefault="00C9006C" w:rsidP="007C6A26">
            <w:pPr>
              <w:spacing w:before="280"/>
              <w:rPr>
                <w:rFonts w:asciiTheme="majorHAnsi" w:eastAsia="Calibri" w:hAnsiTheme="majorHAnsi" w:cstheme="majorHAnsi"/>
                <w:bCs/>
                <w:sz w:val="22"/>
                <w:szCs w:val="22"/>
              </w:rPr>
            </w:pPr>
            <w:r w:rsidRPr="00C9006C">
              <w:rPr>
                <w:rFonts w:asciiTheme="majorHAnsi" w:eastAsia="Calibri" w:hAnsiTheme="majorHAnsi" w:cstheme="majorHAnsi"/>
                <w:bCs/>
                <w:sz w:val="22"/>
                <w:szCs w:val="22"/>
              </w:rPr>
              <w:t>Shortlisting Date: 11/11/2024</w:t>
            </w:r>
          </w:p>
          <w:p w14:paraId="7861E51A" w14:textId="78CE0232" w:rsidR="00C9006C" w:rsidRPr="00C9006C" w:rsidRDefault="00C9006C" w:rsidP="007C6A26">
            <w:pPr>
              <w:spacing w:before="280"/>
              <w:rPr>
                <w:rFonts w:asciiTheme="majorHAnsi" w:eastAsia="Calibri" w:hAnsiTheme="majorHAnsi" w:cstheme="majorHAnsi"/>
                <w:bCs/>
                <w:sz w:val="22"/>
                <w:szCs w:val="22"/>
              </w:rPr>
            </w:pPr>
            <w:r w:rsidRPr="00C9006C">
              <w:rPr>
                <w:rFonts w:asciiTheme="majorHAnsi" w:eastAsia="Calibri" w:hAnsiTheme="majorHAnsi" w:cstheme="majorHAnsi"/>
                <w:bCs/>
                <w:sz w:val="22"/>
                <w:szCs w:val="22"/>
              </w:rPr>
              <w:t>Interview Date: 18</w:t>
            </w:r>
            <w:r w:rsidRPr="00C9006C">
              <w:rPr>
                <w:rFonts w:asciiTheme="majorHAnsi" w:eastAsia="Calibri" w:hAnsiTheme="majorHAnsi" w:cstheme="majorHAnsi"/>
                <w:bCs/>
                <w:sz w:val="22"/>
                <w:szCs w:val="22"/>
                <w:vertAlign w:val="superscript"/>
              </w:rPr>
              <w:t>th</w:t>
            </w:r>
            <w:r w:rsidRPr="00C9006C">
              <w:rPr>
                <w:rFonts w:asciiTheme="majorHAnsi" w:eastAsia="Calibri" w:hAnsiTheme="majorHAnsi" w:cstheme="majorHAnsi"/>
                <w:bCs/>
                <w:sz w:val="22"/>
                <w:szCs w:val="22"/>
              </w:rPr>
              <w:t xml:space="preserve"> &amp; 19</w:t>
            </w:r>
            <w:r w:rsidRPr="00C9006C">
              <w:rPr>
                <w:rFonts w:asciiTheme="majorHAnsi" w:eastAsia="Calibri" w:hAnsiTheme="majorHAnsi" w:cstheme="majorHAnsi"/>
                <w:bCs/>
                <w:sz w:val="22"/>
                <w:szCs w:val="22"/>
                <w:vertAlign w:val="superscript"/>
              </w:rPr>
              <w:t>th</w:t>
            </w:r>
            <w:r w:rsidRPr="00C9006C">
              <w:rPr>
                <w:rFonts w:asciiTheme="majorHAnsi" w:eastAsia="Calibri" w:hAnsiTheme="majorHAnsi" w:cstheme="majorHAnsi"/>
                <w:bCs/>
                <w:sz w:val="22"/>
                <w:szCs w:val="22"/>
              </w:rPr>
              <w:t xml:space="preserve"> November 2024</w:t>
            </w:r>
          </w:p>
          <w:p w14:paraId="1DF567A5" w14:textId="10D5DB9B" w:rsidR="00C9006C" w:rsidRPr="00BF15A6" w:rsidRDefault="00C9006C" w:rsidP="007C6A26">
            <w:pPr>
              <w:spacing w:before="280"/>
              <w:rPr>
                <w:rFonts w:asciiTheme="majorHAnsi" w:eastAsia="Calibri" w:hAnsiTheme="majorHAnsi" w:cstheme="majorHAnsi"/>
                <w:b/>
                <w:sz w:val="22"/>
                <w:szCs w:val="22"/>
              </w:rPr>
            </w:pPr>
          </w:p>
        </w:tc>
      </w:tr>
    </w:tbl>
    <w:p w14:paraId="1DF567A7" w14:textId="77777777" w:rsidR="00D33F62" w:rsidRDefault="00D54F30">
      <w:pPr>
        <w:spacing w:before="280"/>
        <w:ind w:firstLine="720"/>
      </w:pPr>
      <w:r w:rsidRPr="00DE57B1">
        <w:rPr>
          <w:rFonts w:asciiTheme="majorHAnsi" w:hAnsiTheme="majorHAnsi" w:cstheme="majorHAnsi"/>
          <w:sz w:val="22"/>
          <w:szCs w:val="22"/>
        </w:rPr>
        <w:tab/>
      </w:r>
      <w:r>
        <w:tab/>
      </w:r>
      <w:r>
        <w:rPr>
          <w:noProof/>
        </w:rPr>
        <w:drawing>
          <wp:inline distT="0" distB="0" distL="0" distR="0" wp14:anchorId="1DF567AA" wp14:editId="1DF567AB">
            <wp:extent cx="1078620" cy="668961"/>
            <wp:effectExtent l="0" t="0" r="0" b="0"/>
            <wp:docPr id="2" name="image2.png" descr="H:\Vacancies\Masters\logos\Stonewall Logo.jpg"/>
            <wp:cNvGraphicFramePr/>
            <a:graphic xmlns:a="http://schemas.openxmlformats.org/drawingml/2006/main">
              <a:graphicData uri="http://schemas.openxmlformats.org/drawingml/2006/picture">
                <pic:pic xmlns:pic="http://schemas.openxmlformats.org/drawingml/2006/picture">
                  <pic:nvPicPr>
                    <pic:cNvPr id="0" name="image2.png" descr="H:\Vacancies\Masters\logos\Stonewall Logo.jpg"/>
                    <pic:cNvPicPr preferRelativeResize="0"/>
                  </pic:nvPicPr>
                  <pic:blipFill>
                    <a:blip r:embed="rId12"/>
                    <a:srcRect/>
                    <a:stretch>
                      <a:fillRect/>
                    </a:stretch>
                  </pic:blipFill>
                  <pic:spPr>
                    <a:xfrm>
                      <a:off x="0" y="0"/>
                      <a:ext cx="1078620" cy="668961"/>
                    </a:xfrm>
                    <a:prstGeom prst="rect">
                      <a:avLst/>
                    </a:prstGeom>
                    <a:ln/>
                  </pic:spPr>
                </pic:pic>
              </a:graphicData>
            </a:graphic>
          </wp:inline>
        </w:drawing>
      </w:r>
      <w:r>
        <w:tab/>
      </w:r>
      <w:r>
        <w:tab/>
      </w:r>
      <w:r>
        <w:tab/>
      </w:r>
      <w:r>
        <w:tab/>
      </w:r>
      <w:r>
        <w:rPr>
          <w:noProof/>
        </w:rPr>
        <w:drawing>
          <wp:inline distT="0" distB="0" distL="0" distR="0" wp14:anchorId="1DF567AC" wp14:editId="1DF567AD">
            <wp:extent cx="920490" cy="625933"/>
            <wp:effectExtent l="0" t="0" r="0" b="0"/>
            <wp:docPr id="4" name="image4.png" descr="H:\Vacancies\Masters\logos\HR Research Excellence.jpeg"/>
            <wp:cNvGraphicFramePr/>
            <a:graphic xmlns:a="http://schemas.openxmlformats.org/drawingml/2006/main">
              <a:graphicData uri="http://schemas.openxmlformats.org/drawingml/2006/picture">
                <pic:pic xmlns:pic="http://schemas.openxmlformats.org/drawingml/2006/picture">
                  <pic:nvPicPr>
                    <pic:cNvPr id="0" name="image4.png" descr="H:\Vacancies\Masters\logos\HR Research Excellence.jpeg"/>
                    <pic:cNvPicPr preferRelativeResize="0"/>
                  </pic:nvPicPr>
                  <pic:blipFill>
                    <a:blip r:embed="rId13"/>
                    <a:srcRect/>
                    <a:stretch>
                      <a:fillRect/>
                    </a:stretch>
                  </pic:blipFill>
                  <pic:spPr>
                    <a:xfrm>
                      <a:off x="0" y="0"/>
                      <a:ext cx="920490" cy="625933"/>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1DF567AE" wp14:editId="1DF567AF">
            <wp:simplePos x="0" y="0"/>
            <wp:positionH relativeFrom="column">
              <wp:posOffset>47626</wp:posOffset>
            </wp:positionH>
            <wp:positionV relativeFrom="paragraph">
              <wp:posOffset>213359</wp:posOffset>
            </wp:positionV>
            <wp:extent cx="1190625" cy="771525"/>
            <wp:effectExtent l="0" t="0" r="0" b="0"/>
            <wp:wrapSquare wrapText="bothSides" distT="0" distB="0" distL="114300" distR="114300"/>
            <wp:docPr id="3" name="image3.png"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0" name="image3.png" descr="Athena SWAN Charter Silver Award logo 2017"/>
                    <pic:cNvPicPr preferRelativeResize="0"/>
                  </pic:nvPicPr>
                  <pic:blipFill>
                    <a:blip r:embed="rId14"/>
                    <a:srcRect/>
                    <a:stretch>
                      <a:fillRect/>
                    </a:stretch>
                  </pic:blipFill>
                  <pic:spPr>
                    <a:xfrm>
                      <a:off x="0" y="0"/>
                      <a:ext cx="1190625" cy="771525"/>
                    </a:xfrm>
                    <a:prstGeom prst="rect">
                      <a:avLst/>
                    </a:prstGeom>
                    <a:ln/>
                  </pic:spPr>
                </pic:pic>
              </a:graphicData>
            </a:graphic>
          </wp:anchor>
        </w:drawing>
      </w:r>
    </w:p>
    <w:sectPr w:rsidR="00D33F62">
      <w:footerReference w:type="default" r:id="rId15"/>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E271C" w14:textId="77777777" w:rsidR="00AF45FC" w:rsidRDefault="00AF45FC">
      <w:pPr>
        <w:spacing w:line="240" w:lineRule="auto"/>
      </w:pPr>
      <w:r>
        <w:separator/>
      </w:r>
    </w:p>
  </w:endnote>
  <w:endnote w:type="continuationSeparator" w:id="0">
    <w:p w14:paraId="011005C5" w14:textId="77777777" w:rsidR="00AF45FC" w:rsidRDefault="00AF4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67B0" w14:textId="7F5EEA1E" w:rsidR="00D33F62" w:rsidRDefault="00D54F30">
    <w:pPr>
      <w:pBdr>
        <w:top w:val="nil"/>
        <w:left w:val="nil"/>
        <w:bottom w:val="nil"/>
        <w:right w:val="nil"/>
        <w:between w:val="nil"/>
      </w:pBdr>
      <w:tabs>
        <w:tab w:val="center" w:pos="4513"/>
        <w:tab w:val="right" w:pos="9026"/>
      </w:tabs>
      <w:spacing w:line="240" w:lineRule="auto"/>
      <w:rPr>
        <w:color w:val="000000"/>
        <w:sz w:val="20"/>
        <w:szCs w:val="20"/>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F74C09">
      <w:rPr>
        <w:b/>
        <w:noProof/>
        <w:color w:val="000000"/>
        <w:sz w:val="18"/>
        <w:szCs w:val="18"/>
      </w:rPr>
      <w:t>3</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F74C09">
      <w:rPr>
        <w:b/>
        <w:noProof/>
        <w:color w:val="000000"/>
        <w:sz w:val="18"/>
        <w:szCs w:val="18"/>
      </w:rPr>
      <w:t>3</w:t>
    </w:r>
    <w:r>
      <w:rPr>
        <w:b/>
        <w:color w:val="000000"/>
        <w:sz w:val="18"/>
        <w:szCs w:val="18"/>
      </w:rPr>
      <w:fldChar w:fldCharType="end"/>
    </w:r>
  </w:p>
  <w:p w14:paraId="1DF567B1" w14:textId="77777777" w:rsidR="00D33F62" w:rsidRDefault="00D33F62">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C046D" w14:textId="77777777" w:rsidR="00AF45FC" w:rsidRDefault="00AF45FC">
      <w:pPr>
        <w:spacing w:line="240" w:lineRule="auto"/>
      </w:pPr>
      <w:r>
        <w:separator/>
      </w:r>
    </w:p>
  </w:footnote>
  <w:footnote w:type="continuationSeparator" w:id="0">
    <w:p w14:paraId="6EA7FDD8" w14:textId="77777777" w:rsidR="00AF45FC" w:rsidRDefault="00AF45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C38B5"/>
    <w:multiLevelType w:val="hybridMultilevel"/>
    <w:tmpl w:val="39F2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6676A"/>
    <w:multiLevelType w:val="hybridMultilevel"/>
    <w:tmpl w:val="D406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41839"/>
    <w:multiLevelType w:val="hybridMultilevel"/>
    <w:tmpl w:val="FD3E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A364D"/>
    <w:multiLevelType w:val="multilevel"/>
    <w:tmpl w:val="C7942C3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564976"/>
    <w:multiLevelType w:val="hybridMultilevel"/>
    <w:tmpl w:val="8C2A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46DC6"/>
    <w:multiLevelType w:val="hybridMultilevel"/>
    <w:tmpl w:val="18F2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67605"/>
    <w:multiLevelType w:val="multilevel"/>
    <w:tmpl w:val="E2CE8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EF143E"/>
    <w:multiLevelType w:val="hybridMultilevel"/>
    <w:tmpl w:val="2FC28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54153"/>
    <w:multiLevelType w:val="multilevel"/>
    <w:tmpl w:val="B11E4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31543318">
    <w:abstractNumId w:val="6"/>
  </w:num>
  <w:num w:numId="2" w16cid:durableId="972558913">
    <w:abstractNumId w:val="8"/>
  </w:num>
  <w:num w:numId="3" w16cid:durableId="49308314">
    <w:abstractNumId w:val="3"/>
  </w:num>
  <w:num w:numId="4" w16cid:durableId="2101754270">
    <w:abstractNumId w:val="1"/>
  </w:num>
  <w:num w:numId="5" w16cid:durableId="737047974">
    <w:abstractNumId w:val="2"/>
  </w:num>
  <w:num w:numId="6" w16cid:durableId="696662969">
    <w:abstractNumId w:val="4"/>
  </w:num>
  <w:num w:numId="7" w16cid:durableId="389500994">
    <w:abstractNumId w:val="7"/>
  </w:num>
  <w:num w:numId="8" w16cid:durableId="1143691994">
    <w:abstractNumId w:val="0"/>
  </w:num>
  <w:num w:numId="9" w16cid:durableId="963583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62"/>
    <w:rsid w:val="00037457"/>
    <w:rsid w:val="00043117"/>
    <w:rsid w:val="00055DB0"/>
    <w:rsid w:val="000B64FF"/>
    <w:rsid w:val="000D30FC"/>
    <w:rsid w:val="00121CCE"/>
    <w:rsid w:val="00134235"/>
    <w:rsid w:val="0014678A"/>
    <w:rsid w:val="001B383A"/>
    <w:rsid w:val="00250121"/>
    <w:rsid w:val="002C0E60"/>
    <w:rsid w:val="0032143C"/>
    <w:rsid w:val="00372022"/>
    <w:rsid w:val="00376AA3"/>
    <w:rsid w:val="003873B8"/>
    <w:rsid w:val="003C6A7E"/>
    <w:rsid w:val="003D29FC"/>
    <w:rsid w:val="00495715"/>
    <w:rsid w:val="004C3420"/>
    <w:rsid w:val="00517A5E"/>
    <w:rsid w:val="0052129A"/>
    <w:rsid w:val="00530CE2"/>
    <w:rsid w:val="0053257C"/>
    <w:rsid w:val="00553E6D"/>
    <w:rsid w:val="00570616"/>
    <w:rsid w:val="00596A09"/>
    <w:rsid w:val="005E1C4F"/>
    <w:rsid w:val="00674694"/>
    <w:rsid w:val="006873C5"/>
    <w:rsid w:val="006A2419"/>
    <w:rsid w:val="006C5AFC"/>
    <w:rsid w:val="006F12AC"/>
    <w:rsid w:val="00790D1A"/>
    <w:rsid w:val="007C6A26"/>
    <w:rsid w:val="007D7127"/>
    <w:rsid w:val="00867F67"/>
    <w:rsid w:val="00884212"/>
    <w:rsid w:val="008B49F0"/>
    <w:rsid w:val="008F3005"/>
    <w:rsid w:val="00941C6B"/>
    <w:rsid w:val="009A4850"/>
    <w:rsid w:val="009E77FD"/>
    <w:rsid w:val="00A05F79"/>
    <w:rsid w:val="00A16DDF"/>
    <w:rsid w:val="00A40C98"/>
    <w:rsid w:val="00A951FD"/>
    <w:rsid w:val="00AF45FC"/>
    <w:rsid w:val="00B66B99"/>
    <w:rsid w:val="00B739FD"/>
    <w:rsid w:val="00B81375"/>
    <w:rsid w:val="00BA5B4B"/>
    <w:rsid w:val="00BF15A6"/>
    <w:rsid w:val="00C15746"/>
    <w:rsid w:val="00C50FF6"/>
    <w:rsid w:val="00C664C8"/>
    <w:rsid w:val="00C70DA4"/>
    <w:rsid w:val="00C718AF"/>
    <w:rsid w:val="00C87714"/>
    <w:rsid w:val="00C9006C"/>
    <w:rsid w:val="00CC1624"/>
    <w:rsid w:val="00CD021B"/>
    <w:rsid w:val="00CF4C82"/>
    <w:rsid w:val="00D00DEE"/>
    <w:rsid w:val="00D33F62"/>
    <w:rsid w:val="00D46878"/>
    <w:rsid w:val="00D54F30"/>
    <w:rsid w:val="00D9428E"/>
    <w:rsid w:val="00D96284"/>
    <w:rsid w:val="00DD353E"/>
    <w:rsid w:val="00DE57B1"/>
    <w:rsid w:val="00E83C13"/>
    <w:rsid w:val="00E96210"/>
    <w:rsid w:val="00EC2055"/>
    <w:rsid w:val="00EF5A29"/>
    <w:rsid w:val="00F57605"/>
    <w:rsid w:val="00F74C09"/>
    <w:rsid w:val="00FA25BB"/>
    <w:rsid w:val="00FB1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6747"/>
  <w15:docId w15:val="{4E067A3F-D4D7-4DDF-AACF-91CA50E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line="240" w:lineRule="auto"/>
      <w:jc w:val="center"/>
      <w:outlineLvl w:val="3"/>
    </w:pPr>
    <w:rPr>
      <w:rFonts w:ascii="Times New Roman" w:eastAsia="Times New Roman" w:hAnsi="Times New Roman" w:cs="Times New Roman"/>
      <w:b/>
    </w:rPr>
  </w:style>
  <w:style w:type="paragraph" w:styleId="Heading5">
    <w:name w:val="heading 5"/>
    <w:basedOn w:val="Normal"/>
    <w:next w:val="Normal"/>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pPr>
      <w:keepNext/>
      <w:spacing w:line="240" w:lineRule="auto"/>
      <w:ind w:left="720" w:hanging="720"/>
      <w:jc w:val="left"/>
      <w:outlineLvl w:val="5"/>
    </w:pPr>
    <w:rPr>
      <w:rFonts w:ascii="Times New Roman" w:eastAsia="Times New Roman" w:hAnsi="Times New Roman" w:cs="Times New Roman"/>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line="240" w:lineRule="auto"/>
    </w:pPr>
    <w:rPr>
      <w:color w:val="000000"/>
    </w:rPr>
    <w:tblPr>
      <w:tblStyleRowBandSize w:val="1"/>
      <w:tblStyleColBandSize w:val="1"/>
    </w:tblPr>
  </w:style>
  <w:style w:type="table" w:customStyle="1" w:styleId="1">
    <w:name w:val="1"/>
    <w:basedOn w:val="TableNormal"/>
    <w:pPr>
      <w:spacing w:line="240" w:lineRule="auto"/>
    </w:pPr>
    <w:rPr>
      <w:color w:val="000000"/>
    </w:rPr>
    <w:tblPr>
      <w:tblStyleRowBandSize w:val="1"/>
      <w:tblStyleColBandSize w:val="1"/>
    </w:tblPr>
  </w:style>
  <w:style w:type="character" w:styleId="Hyperlink">
    <w:name w:val="Hyperlink"/>
    <w:basedOn w:val="DefaultParagraphFont"/>
    <w:uiPriority w:val="99"/>
    <w:rsid w:val="007C6A26"/>
    <w:rPr>
      <w:color w:val="0000FF"/>
      <w:u w:val="single"/>
    </w:rPr>
  </w:style>
  <w:style w:type="character" w:styleId="UnresolvedMention">
    <w:name w:val="Unresolved Mention"/>
    <w:basedOn w:val="DefaultParagraphFont"/>
    <w:uiPriority w:val="99"/>
    <w:semiHidden/>
    <w:unhideWhenUsed/>
    <w:rsid w:val="00CD021B"/>
    <w:rPr>
      <w:color w:val="605E5C"/>
      <w:shd w:val="clear" w:color="auto" w:fill="E1DFDD"/>
    </w:rPr>
  </w:style>
  <w:style w:type="paragraph" w:styleId="ListParagraph">
    <w:name w:val="List Paragraph"/>
    <w:basedOn w:val="Normal"/>
    <w:uiPriority w:val="34"/>
    <w:qFormat/>
    <w:rsid w:val="00941C6B"/>
    <w:pPr>
      <w:ind w:left="720"/>
      <w:contextualSpacing/>
    </w:pPr>
  </w:style>
  <w:style w:type="character" w:styleId="CommentReference">
    <w:name w:val="annotation reference"/>
    <w:basedOn w:val="DefaultParagraphFont"/>
    <w:uiPriority w:val="99"/>
    <w:semiHidden/>
    <w:unhideWhenUsed/>
    <w:rsid w:val="00C70DA4"/>
    <w:rPr>
      <w:sz w:val="16"/>
      <w:szCs w:val="16"/>
    </w:rPr>
  </w:style>
  <w:style w:type="paragraph" w:styleId="CommentText">
    <w:name w:val="annotation text"/>
    <w:basedOn w:val="Normal"/>
    <w:link w:val="CommentTextChar"/>
    <w:uiPriority w:val="99"/>
    <w:semiHidden/>
    <w:unhideWhenUsed/>
    <w:rsid w:val="00C70DA4"/>
    <w:pPr>
      <w:spacing w:line="240" w:lineRule="auto"/>
    </w:pPr>
    <w:rPr>
      <w:sz w:val="20"/>
      <w:szCs w:val="20"/>
    </w:rPr>
  </w:style>
  <w:style w:type="character" w:customStyle="1" w:styleId="CommentTextChar">
    <w:name w:val="Comment Text Char"/>
    <w:basedOn w:val="DefaultParagraphFont"/>
    <w:link w:val="CommentText"/>
    <w:uiPriority w:val="99"/>
    <w:semiHidden/>
    <w:rsid w:val="00C70DA4"/>
    <w:rPr>
      <w:sz w:val="20"/>
      <w:szCs w:val="20"/>
    </w:rPr>
  </w:style>
  <w:style w:type="paragraph" w:styleId="CommentSubject">
    <w:name w:val="annotation subject"/>
    <w:basedOn w:val="CommentText"/>
    <w:next w:val="CommentText"/>
    <w:link w:val="CommentSubjectChar"/>
    <w:uiPriority w:val="99"/>
    <w:semiHidden/>
    <w:unhideWhenUsed/>
    <w:rsid w:val="00C70DA4"/>
    <w:rPr>
      <w:b/>
      <w:bCs/>
    </w:rPr>
  </w:style>
  <w:style w:type="character" w:customStyle="1" w:styleId="CommentSubjectChar">
    <w:name w:val="Comment Subject Char"/>
    <w:basedOn w:val="CommentTextChar"/>
    <w:link w:val="CommentSubject"/>
    <w:uiPriority w:val="99"/>
    <w:semiHidden/>
    <w:rsid w:val="00C70DA4"/>
    <w:rPr>
      <w:b/>
      <w:bCs/>
      <w:sz w:val="20"/>
      <w:szCs w:val="20"/>
    </w:rPr>
  </w:style>
  <w:style w:type="paragraph" w:styleId="BalloonText">
    <w:name w:val="Balloon Text"/>
    <w:basedOn w:val="Normal"/>
    <w:link w:val="BalloonTextChar"/>
    <w:uiPriority w:val="99"/>
    <w:semiHidden/>
    <w:unhideWhenUsed/>
    <w:rsid w:val="00C70D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DA4"/>
    <w:rPr>
      <w:rFonts w:ascii="Segoe UI" w:hAnsi="Segoe UI" w:cs="Segoe UI"/>
      <w:sz w:val="18"/>
      <w:szCs w:val="18"/>
    </w:rPr>
  </w:style>
  <w:style w:type="character" w:customStyle="1" w:styleId="cf01">
    <w:name w:val="cf01"/>
    <w:basedOn w:val="DefaultParagraphFont"/>
    <w:rsid w:val="00037457"/>
    <w:rPr>
      <w:rFonts w:ascii="Segoe UI" w:hAnsi="Segoe UI" w:cs="Segoe UI" w:hint="default"/>
      <w:sz w:val="18"/>
      <w:szCs w:val="18"/>
    </w:rPr>
  </w:style>
  <w:style w:type="paragraph" w:customStyle="1" w:styleId="pf0">
    <w:name w:val="pf0"/>
    <w:basedOn w:val="Normal"/>
    <w:rsid w:val="00037457"/>
    <w:pPr>
      <w:spacing w:before="100" w:beforeAutospacing="1" w:after="100" w:afterAutospacing="1" w:line="240" w:lineRule="auto"/>
      <w:jc w:val="left"/>
    </w:pPr>
    <w:rPr>
      <w:rFonts w:ascii="Times New Roman" w:eastAsia="Times New Roman" w:hAnsi="Times New Roman" w:cs="Times New Roman"/>
    </w:rPr>
  </w:style>
  <w:style w:type="paragraph" w:customStyle="1" w:styleId="Default">
    <w:name w:val="Default"/>
    <w:rsid w:val="00C9006C"/>
    <w:pPr>
      <w:autoSpaceDE w:val="0"/>
      <w:autoSpaceDN w:val="0"/>
      <w:adjustRightInd w:val="0"/>
      <w:spacing w:line="240" w:lineRule="auto"/>
      <w:jc w:val="left"/>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79947">
      <w:bodyDiv w:val="1"/>
      <w:marLeft w:val="0"/>
      <w:marRight w:val="0"/>
      <w:marTop w:val="0"/>
      <w:marBottom w:val="0"/>
      <w:divBdr>
        <w:top w:val="none" w:sz="0" w:space="0" w:color="auto"/>
        <w:left w:val="none" w:sz="0" w:space="0" w:color="auto"/>
        <w:bottom w:val="none" w:sz="0" w:space="0" w:color="auto"/>
        <w:right w:val="none" w:sz="0" w:space="0" w:color="auto"/>
      </w:divBdr>
    </w:div>
    <w:div w:id="1208294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orland@swansea.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ansea.ac.uk/welsh-language-standards/compliance/recruitment/" TargetMode="External"/><Relationship Id="rId4" Type="http://schemas.openxmlformats.org/officeDocument/2006/relationships/settings" Target="settings.xml"/><Relationship Id="rId9" Type="http://schemas.openxmlformats.org/officeDocument/2006/relationships/hyperlink" Target="https://www.swansea.ac.uk/the-university/values/professional-services-valu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5BA1-5937-4BD0-8C85-0CD065D4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G.M</dc:creator>
  <cp:keywords/>
  <dc:description/>
  <cp:lastModifiedBy>Kate Borland</cp:lastModifiedBy>
  <cp:revision>4</cp:revision>
  <dcterms:created xsi:type="dcterms:W3CDTF">2024-10-21T14:57:00Z</dcterms:created>
  <dcterms:modified xsi:type="dcterms:W3CDTF">2024-10-21T15:02:00Z</dcterms:modified>
</cp:coreProperties>
</file>