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A7CF" w14:textId="482F2677" w:rsidR="00264C07" w:rsidRDefault="00264C07" w:rsidP="00742030">
      <w:pPr>
        <w:spacing w:after="0"/>
        <w:rPr>
          <w:rFonts w:hAnsi="Calibri"/>
          <w:b/>
          <w:bCs/>
          <w:color w:val="1E2253"/>
          <w:kern w:val="24"/>
        </w:rPr>
      </w:pPr>
      <w:r w:rsidRPr="00264C07">
        <w:rPr>
          <w:rFonts w:hAnsi="Calibri"/>
          <w:b/>
          <w:bCs/>
          <w:color w:val="1E2253"/>
          <w:kern w:val="24"/>
        </w:rPr>
        <w:t xml:space="preserve"> </w:t>
      </w:r>
    </w:p>
    <w:p w14:paraId="3A327168" w14:textId="7EB93FF4" w:rsidR="003C2C98" w:rsidRDefault="003C2C98" w:rsidP="00742030">
      <w:pPr>
        <w:pStyle w:val="Title"/>
      </w:pPr>
      <w:r>
        <w:t>MSc Health Data Science</w:t>
      </w:r>
    </w:p>
    <w:p w14:paraId="04B68CB0" w14:textId="77777777" w:rsidR="00966070" w:rsidRPr="007D71AE" w:rsidRDefault="00057F65" w:rsidP="00742030">
      <w:pPr>
        <w:spacing w:after="0"/>
        <w:rPr>
          <w:sz w:val="19"/>
          <w:szCs w:val="19"/>
        </w:rPr>
      </w:pPr>
      <w:hyperlink r:id="rId10" w:history="1">
        <w:r w:rsidR="00966070" w:rsidRPr="007D71AE">
          <w:rPr>
            <w:rStyle w:val="Hyperlink"/>
            <w:sz w:val="19"/>
            <w:szCs w:val="19"/>
          </w:rPr>
          <w:t>Health Data Science, MSc / PGDip / PGCert - Swansea University</w:t>
        </w:r>
      </w:hyperlink>
    </w:p>
    <w:tbl>
      <w:tblPr>
        <w:tblStyle w:val="TableGrid"/>
        <w:tblpPr w:leftFromText="180" w:rightFromText="180" w:vertAnchor="text" w:horzAnchor="margin" w:tblpY="136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E71CC" w:rsidRPr="00AE71CC" w14:paraId="383925B1" w14:textId="77777777" w:rsidTr="00110282">
        <w:tc>
          <w:tcPr>
            <w:tcW w:w="4673" w:type="dxa"/>
          </w:tcPr>
          <w:p w14:paraId="76EEF214" w14:textId="77777777" w:rsidR="00966070" w:rsidRPr="00AE71CC" w:rsidRDefault="00966070" w:rsidP="00742030">
            <w:pPr>
              <w:rPr>
                <w:rFonts w:hAnsi="Calibri"/>
                <w:b/>
                <w:bCs/>
                <w:kern w:val="24"/>
                <w:sz w:val="21"/>
                <w:szCs w:val="21"/>
              </w:rPr>
            </w:pPr>
            <w:bookmarkStart w:id="0" w:name="_Hlk126580239"/>
            <w:r w:rsidRPr="00AE71CC">
              <w:rPr>
                <w:rFonts w:hAnsi="Calibri"/>
                <w:b/>
                <w:bCs/>
                <w:kern w:val="24"/>
                <w:sz w:val="21"/>
                <w:szCs w:val="21"/>
              </w:rPr>
              <w:t>Tuition Fees:</w:t>
            </w:r>
          </w:p>
          <w:p w14:paraId="47C9ED70" w14:textId="45817F39" w:rsidR="00966070" w:rsidRPr="00AE71CC" w:rsidRDefault="00110282" w:rsidP="00742030">
            <w:pPr>
              <w:rPr>
                <w:rFonts w:hAnsi="Calibri"/>
                <w:kern w:val="24"/>
                <w:sz w:val="21"/>
                <w:szCs w:val="21"/>
              </w:rPr>
            </w:pPr>
            <w:r>
              <w:rPr>
                <w:rFonts w:hAnsi="Calibri"/>
                <w:kern w:val="24"/>
                <w:sz w:val="21"/>
                <w:szCs w:val="21"/>
              </w:rPr>
              <w:t xml:space="preserve">January 2024: £19,800 or </w:t>
            </w:r>
            <w:r w:rsidR="00966070" w:rsidRPr="00AE71CC">
              <w:rPr>
                <w:rFonts w:hAnsi="Calibri"/>
                <w:kern w:val="24"/>
                <w:sz w:val="21"/>
                <w:szCs w:val="21"/>
              </w:rPr>
              <w:t>September 202</w:t>
            </w:r>
            <w:r w:rsidR="0006074E">
              <w:rPr>
                <w:rFonts w:hAnsi="Calibri"/>
                <w:kern w:val="24"/>
                <w:sz w:val="21"/>
                <w:szCs w:val="21"/>
              </w:rPr>
              <w:t>4</w:t>
            </w:r>
            <w:r w:rsidR="00966070" w:rsidRPr="00AE71CC">
              <w:rPr>
                <w:rFonts w:hAnsi="Calibri"/>
                <w:kern w:val="24"/>
                <w:sz w:val="21"/>
                <w:szCs w:val="21"/>
              </w:rPr>
              <w:t>: £</w:t>
            </w:r>
            <w:r w:rsidR="0006074E">
              <w:rPr>
                <w:rFonts w:hAnsi="Calibri"/>
                <w:kern w:val="24"/>
                <w:sz w:val="21"/>
                <w:szCs w:val="21"/>
              </w:rPr>
              <w:t>20</w:t>
            </w:r>
            <w:r w:rsidR="00966070" w:rsidRPr="00AE71CC">
              <w:rPr>
                <w:rFonts w:hAnsi="Calibri"/>
                <w:kern w:val="24"/>
                <w:sz w:val="21"/>
                <w:szCs w:val="21"/>
              </w:rPr>
              <w:t>,800</w:t>
            </w:r>
          </w:p>
        </w:tc>
        <w:tc>
          <w:tcPr>
            <w:tcW w:w="4678" w:type="dxa"/>
          </w:tcPr>
          <w:p w14:paraId="28A6CB6A" w14:textId="77777777" w:rsidR="00966070" w:rsidRPr="00AE71CC" w:rsidRDefault="00966070" w:rsidP="00742030">
            <w:pPr>
              <w:rPr>
                <w:rFonts w:hAnsi="Calibri"/>
                <w:b/>
                <w:bCs/>
                <w:kern w:val="24"/>
                <w:sz w:val="21"/>
                <w:szCs w:val="21"/>
              </w:rPr>
            </w:pPr>
            <w:r w:rsidRPr="00AE71CC">
              <w:rPr>
                <w:rFonts w:hAnsi="Calibri"/>
                <w:b/>
                <w:bCs/>
                <w:kern w:val="24"/>
                <w:sz w:val="21"/>
                <w:szCs w:val="21"/>
              </w:rPr>
              <w:t>Entry points:</w:t>
            </w:r>
          </w:p>
          <w:p w14:paraId="21D6604D" w14:textId="77777777" w:rsidR="00966070" w:rsidRPr="00AE71CC" w:rsidRDefault="00966070" w:rsidP="00742030">
            <w:pPr>
              <w:rPr>
                <w:rFonts w:hAnsi="Calibri"/>
                <w:kern w:val="24"/>
                <w:sz w:val="21"/>
                <w:szCs w:val="21"/>
              </w:rPr>
            </w:pPr>
            <w:r w:rsidRPr="00AE71CC">
              <w:rPr>
                <w:rFonts w:hAnsi="Calibri"/>
                <w:kern w:val="24"/>
                <w:sz w:val="21"/>
                <w:szCs w:val="21"/>
              </w:rPr>
              <w:t xml:space="preserve">September and January </w:t>
            </w:r>
            <w:r w:rsidRPr="00AE71CC">
              <w:rPr>
                <w:rFonts w:hAnsi="Calibri"/>
                <w:b/>
                <w:bCs/>
                <w:kern w:val="24"/>
                <w:sz w:val="21"/>
                <w:szCs w:val="21"/>
              </w:rPr>
              <w:t>(In-person only)</w:t>
            </w:r>
          </w:p>
        </w:tc>
      </w:tr>
      <w:tr w:rsidR="00AE71CC" w:rsidRPr="00AE71CC" w14:paraId="6920DA32" w14:textId="77777777" w:rsidTr="00966070">
        <w:tc>
          <w:tcPr>
            <w:tcW w:w="9351" w:type="dxa"/>
            <w:gridSpan w:val="2"/>
          </w:tcPr>
          <w:p w14:paraId="0367C83A" w14:textId="77777777" w:rsidR="00966070" w:rsidRPr="00AE71CC" w:rsidRDefault="00966070" w:rsidP="00742030">
            <w:pPr>
              <w:rPr>
                <w:rFonts w:cstheme="minorHAnsi"/>
                <w:kern w:val="24"/>
                <w:sz w:val="21"/>
                <w:szCs w:val="21"/>
              </w:rPr>
            </w:pPr>
            <w:r w:rsidRPr="00AE71CC">
              <w:rPr>
                <w:rFonts w:cstheme="minorHAnsi"/>
                <w:b/>
                <w:bCs/>
                <w:kern w:val="24"/>
                <w:sz w:val="21"/>
                <w:szCs w:val="21"/>
              </w:rPr>
              <w:t xml:space="preserve">Suitable Academic Background: </w:t>
            </w:r>
            <w:r w:rsidRPr="00AE71CC">
              <w:rPr>
                <w:rFonts w:cstheme="minorHAnsi"/>
                <w:kern w:val="24"/>
                <w:sz w:val="21"/>
                <w:szCs w:val="21"/>
              </w:rPr>
              <w:t>minimum UK 2:2 degree</w:t>
            </w:r>
            <w:r w:rsidRPr="00CC4606">
              <w:rPr>
                <w:rFonts w:cstheme="minorHAnsi"/>
                <w:color w:val="0070C0"/>
                <w:kern w:val="24"/>
                <w:sz w:val="21"/>
                <w:szCs w:val="21"/>
              </w:rPr>
              <w:t xml:space="preserve"> </w:t>
            </w:r>
            <w:hyperlink r:id="rId11" w:history="1">
              <w:r w:rsidRPr="00CC4606">
                <w:rPr>
                  <w:rStyle w:val="Hyperlink"/>
                  <w:rFonts w:cstheme="minorHAnsi"/>
                  <w:color w:val="0070C0"/>
                  <w:kern w:val="24"/>
                  <w:sz w:val="21"/>
                  <w:szCs w:val="21"/>
                </w:rPr>
                <w:t>(check equivalencies for your country)</w:t>
              </w:r>
            </w:hyperlink>
          </w:p>
          <w:p w14:paraId="3F791324" w14:textId="09DAB83A" w:rsidR="00966070" w:rsidRPr="00AE71CC" w:rsidRDefault="00966070" w:rsidP="007420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AE71CC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Engineering</w:t>
            </w:r>
            <w:r w:rsidR="00E26FE2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 xml:space="preserve"> (</w:t>
            </w:r>
            <w:r w:rsidR="00D454D5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Communications; Computational; Computational Mechanics; Electronic &amp; Electrical; Nanoscien</w:t>
            </w:r>
            <w:r w:rsidR="00057F65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c</w:t>
            </w:r>
            <w:r w:rsidR="00D454D5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e</w:t>
            </w:r>
            <w:r w:rsidR="007D79A8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 xml:space="preserve">/Nanotechnology) </w:t>
            </w:r>
          </w:p>
          <w:p w14:paraId="22E01D27" w14:textId="77777777" w:rsidR="00966070" w:rsidRPr="00AE71CC" w:rsidRDefault="00966070" w:rsidP="007420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AE71CC">
              <w:rPr>
                <w:rFonts w:asciiTheme="minorHAnsi" w:hAnsiTheme="minorHAnsi" w:cstheme="minorHAnsi"/>
                <w:kern w:val="24"/>
                <w:sz w:val="21"/>
                <w:szCs w:val="21"/>
              </w:rPr>
              <w:t>Mathematics</w:t>
            </w:r>
          </w:p>
          <w:p w14:paraId="0ACB292D" w14:textId="296B6BB7" w:rsidR="00966070" w:rsidRPr="00AE71CC" w:rsidRDefault="00966070" w:rsidP="007420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AE71CC">
              <w:rPr>
                <w:rFonts w:asciiTheme="minorHAnsi" w:hAnsiTheme="minorHAnsi" w:cstheme="minorHAnsi"/>
                <w:kern w:val="24"/>
                <w:sz w:val="21"/>
                <w:szCs w:val="21"/>
              </w:rPr>
              <w:t>Computer Science</w:t>
            </w:r>
            <w:r w:rsidR="00E26FE2">
              <w:rPr>
                <w:rFonts w:asciiTheme="minorHAnsi" w:hAnsiTheme="minorHAnsi" w:cstheme="minorHAnsi"/>
                <w:kern w:val="24"/>
                <w:sz w:val="21"/>
                <w:szCs w:val="21"/>
              </w:rPr>
              <w:t xml:space="preserve"> (Computer Applications; Software Engineering/Technology; Information Technology; Computer Engineering) </w:t>
            </w:r>
          </w:p>
          <w:p w14:paraId="2EF76C2E" w14:textId="2788A331" w:rsidR="00966070" w:rsidRPr="00AE71CC" w:rsidRDefault="00966070" w:rsidP="007420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AE71CC">
              <w:rPr>
                <w:rFonts w:asciiTheme="minorHAnsi" w:hAnsiTheme="minorHAnsi" w:cstheme="minorHAnsi"/>
                <w:kern w:val="24"/>
                <w:sz w:val="21"/>
                <w:szCs w:val="21"/>
              </w:rPr>
              <w:t>Statistics</w:t>
            </w:r>
          </w:p>
          <w:p w14:paraId="64FDE977" w14:textId="0182AE07" w:rsidR="00966070" w:rsidRPr="00AE71CC" w:rsidRDefault="00966070" w:rsidP="007420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AE71CC">
              <w:rPr>
                <w:rFonts w:asciiTheme="minorHAnsi" w:hAnsiTheme="minorHAnsi" w:cstheme="minorHAnsi"/>
                <w:kern w:val="24"/>
                <w:sz w:val="21"/>
                <w:szCs w:val="21"/>
              </w:rPr>
              <w:t>Bioinformatics</w:t>
            </w:r>
            <w:r w:rsidR="00E26FE2">
              <w:rPr>
                <w:rFonts w:asciiTheme="minorHAnsi" w:hAnsiTheme="minorHAnsi" w:cstheme="minorHAnsi"/>
                <w:kern w:val="24"/>
                <w:sz w:val="21"/>
                <w:szCs w:val="21"/>
              </w:rPr>
              <w:t xml:space="preserve">/Epidemiology </w:t>
            </w:r>
          </w:p>
          <w:p w14:paraId="1CB50F83" w14:textId="3914D795" w:rsidR="00966070" w:rsidRPr="00AE71CC" w:rsidRDefault="00966070" w:rsidP="00742030">
            <w:pPr>
              <w:rPr>
                <w:rFonts w:hAnsi="Calibri"/>
                <w:b/>
                <w:bCs/>
                <w:kern w:val="24"/>
                <w:sz w:val="21"/>
                <w:szCs w:val="21"/>
              </w:rPr>
            </w:pPr>
            <w:r w:rsidRPr="00AE71CC">
              <w:rPr>
                <w:rFonts w:cstheme="minorHAnsi"/>
                <w:b/>
                <w:bCs/>
                <w:i/>
                <w:iCs/>
                <w:kern w:val="24"/>
                <w:sz w:val="21"/>
                <w:szCs w:val="21"/>
              </w:rPr>
              <w:t xml:space="preserve">Applicants must demonstrate good programming ability/ experience – either from additional professional certificate or in existing degree transcripts.  </w:t>
            </w:r>
          </w:p>
        </w:tc>
      </w:tr>
      <w:tr w:rsidR="00AE71CC" w:rsidRPr="00AE71CC" w14:paraId="6C8548C2" w14:textId="77777777" w:rsidTr="00966070">
        <w:tc>
          <w:tcPr>
            <w:tcW w:w="9351" w:type="dxa"/>
            <w:gridSpan w:val="2"/>
          </w:tcPr>
          <w:p w14:paraId="2C5FA68D" w14:textId="171CFF5E" w:rsidR="00966070" w:rsidRPr="00AE71CC" w:rsidRDefault="00966070" w:rsidP="00742030">
            <w:pPr>
              <w:rPr>
                <w:rFonts w:cstheme="minorHAnsi"/>
                <w:kern w:val="24"/>
                <w:sz w:val="21"/>
                <w:szCs w:val="21"/>
              </w:rPr>
            </w:pPr>
            <w:r w:rsidRPr="00AE71CC">
              <w:rPr>
                <w:rFonts w:cstheme="minorHAnsi"/>
                <w:b/>
                <w:bCs/>
                <w:kern w:val="24"/>
                <w:sz w:val="21"/>
                <w:szCs w:val="21"/>
              </w:rPr>
              <w:t>English Language Requirement:</w:t>
            </w:r>
            <w:r w:rsidRPr="00AE71CC">
              <w:rPr>
                <w:rFonts w:cstheme="minorHAnsi"/>
                <w:kern w:val="24"/>
                <w:sz w:val="21"/>
                <w:szCs w:val="21"/>
              </w:rPr>
              <w:t xml:space="preserve"> IELTS 6.5 with no less than 6.0 in all components (or Swansea University recognised equivalents)</w:t>
            </w:r>
            <w:r w:rsidR="0023521B">
              <w:rPr>
                <w:rFonts w:cstheme="minorHAnsi"/>
                <w:kern w:val="24"/>
                <w:sz w:val="21"/>
                <w:szCs w:val="21"/>
              </w:rPr>
              <w:t xml:space="preserve"> </w:t>
            </w:r>
            <w:hyperlink r:id="rId12" w:history="1">
              <w:r w:rsidR="0023521B" w:rsidRPr="00704863">
                <w:rPr>
                  <w:rStyle w:val="Hyperlink"/>
                  <w:rFonts w:cstheme="minorHAnsi"/>
                  <w:kern w:val="24"/>
                  <w:sz w:val="21"/>
                  <w:szCs w:val="21"/>
                </w:rPr>
                <w:t>Check Swansea University Approved Tests and Qualifications here</w:t>
              </w:r>
            </w:hyperlink>
          </w:p>
        </w:tc>
      </w:tr>
    </w:tbl>
    <w:bookmarkEnd w:id="0"/>
    <w:p w14:paraId="2F45FE4A" w14:textId="77777777" w:rsidR="00094936" w:rsidRPr="00F86397" w:rsidRDefault="00094936" w:rsidP="00742030">
      <w:pPr>
        <w:spacing w:after="0"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F86397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degree background as guidance – eligibility can only be confirmed once a full application has been received and reviewed.</w:t>
      </w:r>
    </w:p>
    <w:p w14:paraId="633ECA0E" w14:textId="77777777" w:rsidR="00BC56F1" w:rsidRDefault="00BC56F1" w:rsidP="00742030">
      <w:pPr>
        <w:spacing w:after="0"/>
        <w:rPr>
          <w:rFonts w:hAnsi="Calibri"/>
          <w:b/>
          <w:bCs/>
          <w:kern w:val="24"/>
          <w:sz w:val="21"/>
          <w:szCs w:val="21"/>
        </w:rPr>
      </w:pPr>
    </w:p>
    <w:p w14:paraId="250D015E" w14:textId="2A6797FF" w:rsidR="00264C07" w:rsidRPr="00AE71CC" w:rsidRDefault="00264C07" w:rsidP="00742030">
      <w:pPr>
        <w:spacing w:after="0"/>
        <w:rPr>
          <w:rFonts w:hAnsi="Calibri"/>
          <w:b/>
          <w:bCs/>
          <w:kern w:val="24"/>
          <w:sz w:val="21"/>
          <w:szCs w:val="21"/>
        </w:rPr>
      </w:pPr>
      <w:r w:rsidRPr="00AE71CC">
        <w:rPr>
          <w:rFonts w:hAnsi="Calibri"/>
          <w:b/>
          <w:bCs/>
          <w:kern w:val="24"/>
          <w:sz w:val="21"/>
          <w:szCs w:val="21"/>
        </w:rPr>
        <w:t xml:space="preserve">What the </w:t>
      </w:r>
      <w:r w:rsidR="00BB192F">
        <w:rPr>
          <w:rFonts w:hAnsi="Calibri"/>
          <w:b/>
          <w:bCs/>
          <w:kern w:val="24"/>
          <w:sz w:val="21"/>
          <w:szCs w:val="21"/>
        </w:rPr>
        <w:t>Programme about?</w:t>
      </w:r>
    </w:p>
    <w:p w14:paraId="7EFA4A83" w14:textId="00800124" w:rsidR="00264C07" w:rsidRPr="00AE71CC" w:rsidRDefault="00264C07" w:rsidP="00742030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</w:pPr>
      <w:r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 xml:space="preserve">This </w:t>
      </w:r>
      <w:r w:rsidR="00BB192F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>programme</w:t>
      </w:r>
      <w:r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 xml:space="preserve"> is designed to develop the essential skills and knowledge you’ll need as a Health Data Scientist.</w:t>
      </w:r>
    </w:p>
    <w:p w14:paraId="314A1307" w14:textId="290934F0" w:rsidR="001068CA" w:rsidRPr="00AE71CC" w:rsidRDefault="001068CA" w:rsidP="00742030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</w:pPr>
      <w:r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 xml:space="preserve">Data Scientists are those working in healthcare with roles involving the analysis of health data </w:t>
      </w:r>
      <w:r w:rsidR="00BB7A35"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>and</w:t>
      </w:r>
      <w:r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 xml:space="preserve"> computer scientists working with data from the healthcare domain.</w:t>
      </w:r>
    </w:p>
    <w:p w14:paraId="63097BD9" w14:textId="77777777" w:rsidR="00264C07" w:rsidRPr="00AE71CC" w:rsidRDefault="00264C07" w:rsidP="00742030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</w:pPr>
      <w:r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 xml:space="preserve">Our degree offers strong emphasis on practical and analytical </w:t>
      </w:r>
      <w:proofErr w:type="gramStart"/>
      <w:r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>skills</w:t>
      </w:r>
      <w:proofErr w:type="gramEnd"/>
      <w:r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> </w:t>
      </w:r>
    </w:p>
    <w:p w14:paraId="6C158119" w14:textId="7070FD27" w:rsidR="00301A96" w:rsidRPr="00AE71CC" w:rsidRDefault="001068CA" w:rsidP="00742030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</w:pPr>
      <w:r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>Incorporates</w:t>
      </w:r>
      <w:r w:rsidR="008950E8"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 xml:space="preserve"> </w:t>
      </w:r>
      <w:r w:rsidR="007E3573"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 xml:space="preserve">technical elements such as </w:t>
      </w:r>
      <w:r w:rsidR="008950E8"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 xml:space="preserve">programming and coding in the </w:t>
      </w:r>
      <w:proofErr w:type="gramStart"/>
      <w:r w:rsidR="008950E8"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>curriculum</w:t>
      </w:r>
      <w:proofErr w:type="gramEnd"/>
      <w:r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 xml:space="preserve"> </w:t>
      </w:r>
    </w:p>
    <w:p w14:paraId="7DE12233" w14:textId="067AE543" w:rsidR="00264C07" w:rsidRPr="00AE71CC" w:rsidRDefault="00C75A36" w:rsidP="00742030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</w:pPr>
      <w:r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>Students will</w:t>
      </w:r>
      <w:r w:rsidR="00264C07"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 xml:space="preserve"> learn how processing health data to extract valuable information about a population (epidemiological applications) has the potential to improve quality of life on a large </w:t>
      </w:r>
      <w:proofErr w:type="gramStart"/>
      <w:r w:rsidR="00264C07"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>scale</w:t>
      </w:r>
      <w:proofErr w:type="gramEnd"/>
    </w:p>
    <w:p w14:paraId="7CF7D185" w14:textId="4D3BB802" w:rsidR="00C75A36" w:rsidRPr="00AE71CC" w:rsidRDefault="00C75A36" w:rsidP="00742030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</w:pPr>
      <w:r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 xml:space="preserve">Students </w:t>
      </w:r>
      <w:r w:rsidR="00B43FD0"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 xml:space="preserve">will develop a better understanding of patient data and focus on the science and art of generating data-driven </w:t>
      </w:r>
      <w:proofErr w:type="gramStart"/>
      <w:r w:rsidR="00B43FD0" w:rsidRPr="00AE71CC">
        <w:rPr>
          <w:rFonts w:asciiTheme="minorHAnsi" w:eastAsiaTheme="minorHAnsi" w:hAnsi="Calibri" w:cstheme="minorBidi"/>
          <w:kern w:val="24"/>
          <w:sz w:val="21"/>
          <w:szCs w:val="21"/>
          <w:lang w:eastAsia="en-US"/>
        </w:rPr>
        <w:t>solutions</w:t>
      </w:r>
      <w:proofErr w:type="gramEnd"/>
    </w:p>
    <w:p w14:paraId="76F9A4F4" w14:textId="48DC09A2" w:rsidR="004E6747" w:rsidRPr="00AE71CC" w:rsidRDefault="004E6747" w:rsidP="00742030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AE71CC">
        <w:rPr>
          <w:rFonts w:asciiTheme="minorHAnsi" w:hAnsiTheme="minorHAnsi" w:cstheme="minorHAnsi"/>
          <w:sz w:val="21"/>
          <w:szCs w:val="21"/>
        </w:rPr>
        <w:t xml:space="preserve">State-of-the-art facilities including the </w:t>
      </w:r>
      <w:hyperlink r:id="rId13" w:history="1">
        <w:r w:rsidRPr="00AE71CC">
          <w:rPr>
            <w:rStyle w:val="Hyperlink"/>
            <w:rFonts w:asciiTheme="minorHAnsi" w:hAnsiTheme="minorHAnsi" w:cstheme="minorHAnsi"/>
            <w:color w:val="0070C0"/>
            <w:sz w:val="21"/>
            <w:szCs w:val="21"/>
          </w:rPr>
          <w:t>Data Science Building</w:t>
        </w:r>
      </w:hyperlink>
      <w:r w:rsidRPr="00AE71CC">
        <w:rPr>
          <w:rFonts w:asciiTheme="minorHAnsi" w:hAnsiTheme="minorHAnsi" w:cstheme="minorHAnsi"/>
          <w:sz w:val="21"/>
          <w:szCs w:val="21"/>
        </w:rPr>
        <w:t xml:space="preserve"> which attracted £30M of UK Government Funding.  The Data Science Building is a secured building across 6 floors, as one of the main Data linkage sites for anonymised health data</w:t>
      </w:r>
      <w:r w:rsidR="009D3171" w:rsidRPr="00AE71CC">
        <w:rPr>
          <w:rFonts w:asciiTheme="minorHAnsi" w:hAnsiTheme="minorHAnsi" w:cstheme="minorHAnsi"/>
          <w:sz w:val="21"/>
          <w:szCs w:val="21"/>
        </w:rPr>
        <w:t>.</w:t>
      </w:r>
    </w:p>
    <w:p w14:paraId="1E4D2645" w14:textId="77777777" w:rsidR="00742030" w:rsidRDefault="00742030" w:rsidP="00742030">
      <w:pPr>
        <w:spacing w:after="0" w:line="216" w:lineRule="auto"/>
        <w:jc w:val="both"/>
        <w:rPr>
          <w:rFonts w:hAnsi="Calibri"/>
          <w:b/>
          <w:bCs/>
          <w:kern w:val="24"/>
        </w:rPr>
      </w:pPr>
    </w:p>
    <w:p w14:paraId="5D7FD5FD" w14:textId="2549E118" w:rsidR="00762BA9" w:rsidRDefault="00762BA9" w:rsidP="00742030">
      <w:pPr>
        <w:spacing w:after="0" w:line="216" w:lineRule="auto"/>
        <w:jc w:val="both"/>
        <w:rPr>
          <w:rFonts w:hAnsi="Calibri"/>
          <w:b/>
          <w:bCs/>
          <w:kern w:val="24"/>
        </w:rPr>
      </w:pPr>
      <w:r>
        <w:rPr>
          <w:rFonts w:hAnsi="Calibri"/>
          <w:b/>
          <w:bCs/>
          <w:kern w:val="24"/>
        </w:rPr>
        <w:t xml:space="preserve">Important Things </w:t>
      </w:r>
      <w:proofErr w:type="gramStart"/>
      <w:r>
        <w:rPr>
          <w:rFonts w:hAnsi="Calibri"/>
          <w:b/>
          <w:bCs/>
          <w:kern w:val="24"/>
        </w:rPr>
        <w:t>To</w:t>
      </w:r>
      <w:proofErr w:type="gramEnd"/>
      <w:r>
        <w:rPr>
          <w:rFonts w:hAnsi="Calibri"/>
          <w:b/>
          <w:bCs/>
          <w:kern w:val="24"/>
        </w:rPr>
        <w:t xml:space="preserve"> Note</w:t>
      </w:r>
    </w:p>
    <w:p w14:paraId="0E5FB7B3" w14:textId="49CE0F0D" w:rsidR="00762BA9" w:rsidRPr="00762BA9" w:rsidRDefault="00762BA9" w:rsidP="0074203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75% of our impact rated as internationally excellent. (Research Excellence Framework 2021)</w:t>
      </w:r>
    </w:p>
    <w:p w14:paraId="5577BBEC" w14:textId="029C57B1" w:rsidR="00762BA9" w:rsidRPr="00742030" w:rsidRDefault="00742030" w:rsidP="0074203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This degree involves programming and </w:t>
      </w:r>
      <w:proofErr w:type="gramStart"/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coding</w:t>
      </w:r>
      <w:proofErr w:type="gramEnd"/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</w:t>
      </w:r>
    </w:p>
    <w:p w14:paraId="04FCFCEA" w14:textId="77777777" w:rsidR="00742030" w:rsidRPr="00742030" w:rsidRDefault="00742030" w:rsidP="00742030">
      <w:pPr>
        <w:pStyle w:val="NormalWeb"/>
        <w:spacing w:before="0" w:beforeAutospacing="0" w:after="0" w:afterAutospacing="0"/>
        <w:ind w:left="720"/>
        <w:jc w:val="both"/>
      </w:pPr>
    </w:p>
    <w:p w14:paraId="69F789DD" w14:textId="77ADB183" w:rsidR="00FD3D26" w:rsidRPr="00AE71CC" w:rsidRDefault="00476672" w:rsidP="00742030">
      <w:pPr>
        <w:spacing w:after="0" w:line="216" w:lineRule="auto"/>
        <w:jc w:val="both"/>
        <w:rPr>
          <w:rFonts w:hAnsi="Calibri"/>
          <w:b/>
          <w:bCs/>
          <w:kern w:val="24"/>
        </w:rPr>
      </w:pPr>
      <w:r w:rsidRPr="00AE71CC">
        <w:rPr>
          <w:rFonts w:hAnsi="Calibri"/>
          <w:b/>
          <w:bCs/>
          <w:kern w:val="24"/>
        </w:rPr>
        <w:t>Modules within the p</w:t>
      </w:r>
      <w:r w:rsidR="00D10820" w:rsidRPr="00AE71CC">
        <w:rPr>
          <w:rFonts w:hAnsi="Calibri"/>
          <w:b/>
          <w:bCs/>
          <w:kern w:val="24"/>
        </w:rPr>
        <w:t xml:space="preserve">rogramme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71CC" w:rsidRPr="00AE71CC" w14:paraId="3F1E8A1D" w14:textId="77777777" w:rsidTr="00476672">
        <w:trPr>
          <w:trHeight w:val="355"/>
        </w:trPr>
        <w:tc>
          <w:tcPr>
            <w:tcW w:w="4508" w:type="dxa"/>
          </w:tcPr>
          <w:p w14:paraId="702E09B7" w14:textId="31AC82F7" w:rsidR="004A3CFF" w:rsidRPr="00AE71CC" w:rsidRDefault="00057F65" w:rsidP="00742030">
            <w:pPr>
              <w:shd w:val="clear" w:color="auto" w:fill="FCFCFC"/>
              <w:rPr>
                <w:rFonts w:hAnsi="Calibri"/>
                <w:kern w:val="24"/>
                <w:sz w:val="21"/>
                <w:szCs w:val="21"/>
              </w:rPr>
            </w:pPr>
            <w:hyperlink r:id="rId14" w:tgtFrame="_blank" w:history="1">
              <w:r w:rsidR="0089279A" w:rsidRPr="00AE71CC">
                <w:rPr>
                  <w:rFonts w:hAnsi="Calibri"/>
                  <w:kern w:val="24"/>
                  <w:sz w:val="21"/>
                  <w:szCs w:val="21"/>
                </w:rPr>
                <w:t>Scientific Computing and Health Care</w:t>
              </w:r>
            </w:hyperlink>
          </w:p>
        </w:tc>
        <w:tc>
          <w:tcPr>
            <w:tcW w:w="4508" w:type="dxa"/>
          </w:tcPr>
          <w:p w14:paraId="3137A76B" w14:textId="0396A3D8" w:rsidR="004A3CFF" w:rsidRPr="00AE71CC" w:rsidRDefault="00057F65" w:rsidP="00742030">
            <w:pPr>
              <w:spacing w:line="216" w:lineRule="auto"/>
              <w:jc w:val="both"/>
              <w:rPr>
                <w:rFonts w:hAnsi="Calibri"/>
                <w:kern w:val="24"/>
                <w:sz w:val="21"/>
                <w:szCs w:val="21"/>
              </w:rPr>
            </w:pPr>
            <w:hyperlink r:id="rId15" w:tgtFrame="_blank" w:history="1">
              <w:r w:rsidR="0089279A" w:rsidRPr="00AE71CC">
                <w:rPr>
                  <w:rFonts w:hAnsi="Calibri"/>
                  <w:kern w:val="24"/>
                  <w:sz w:val="21"/>
                  <w:szCs w:val="21"/>
                </w:rPr>
                <w:t>Health Data Modelling</w:t>
              </w:r>
            </w:hyperlink>
          </w:p>
        </w:tc>
      </w:tr>
      <w:tr w:rsidR="00AE71CC" w:rsidRPr="00AE71CC" w14:paraId="272F266D" w14:textId="77777777" w:rsidTr="00476672">
        <w:trPr>
          <w:trHeight w:val="275"/>
        </w:trPr>
        <w:tc>
          <w:tcPr>
            <w:tcW w:w="4508" w:type="dxa"/>
          </w:tcPr>
          <w:p w14:paraId="11A55700" w14:textId="7A3E3F21" w:rsidR="004A3CFF" w:rsidRPr="00AE71CC" w:rsidRDefault="00057F65" w:rsidP="00742030">
            <w:pPr>
              <w:shd w:val="clear" w:color="auto" w:fill="FCFCFC"/>
              <w:rPr>
                <w:rFonts w:hAnsi="Calibri"/>
                <w:kern w:val="24"/>
                <w:sz w:val="21"/>
                <w:szCs w:val="21"/>
              </w:rPr>
            </w:pPr>
            <w:hyperlink r:id="rId16" w:tgtFrame="_blank" w:history="1">
              <w:r w:rsidR="0089279A" w:rsidRPr="00AE71CC">
                <w:rPr>
                  <w:rFonts w:hAnsi="Calibri"/>
                  <w:kern w:val="24"/>
                  <w:sz w:val="21"/>
                  <w:szCs w:val="21"/>
                </w:rPr>
                <w:t>Introductory Analysis of Linked Health Data</w:t>
              </w:r>
            </w:hyperlink>
          </w:p>
        </w:tc>
        <w:tc>
          <w:tcPr>
            <w:tcW w:w="4508" w:type="dxa"/>
          </w:tcPr>
          <w:p w14:paraId="0F075406" w14:textId="4165B561" w:rsidR="004A3CFF" w:rsidRPr="00AE71CC" w:rsidRDefault="00057F65" w:rsidP="00742030">
            <w:pPr>
              <w:spacing w:line="216" w:lineRule="auto"/>
              <w:jc w:val="both"/>
              <w:rPr>
                <w:rFonts w:hAnsi="Calibri"/>
                <w:kern w:val="24"/>
                <w:sz w:val="21"/>
                <w:szCs w:val="21"/>
              </w:rPr>
            </w:pPr>
            <w:hyperlink r:id="rId17" w:tgtFrame="_blank" w:history="1">
              <w:r w:rsidR="0089279A" w:rsidRPr="00AE71CC">
                <w:rPr>
                  <w:rFonts w:hAnsi="Calibri"/>
                  <w:kern w:val="24"/>
                  <w:sz w:val="21"/>
                  <w:szCs w:val="21"/>
                </w:rPr>
                <w:t>Health Data Visualisation</w:t>
              </w:r>
            </w:hyperlink>
          </w:p>
        </w:tc>
      </w:tr>
      <w:tr w:rsidR="00AE71CC" w:rsidRPr="00AE71CC" w14:paraId="50493FB9" w14:textId="77777777" w:rsidTr="00476672">
        <w:trPr>
          <w:trHeight w:val="265"/>
        </w:trPr>
        <w:tc>
          <w:tcPr>
            <w:tcW w:w="4508" w:type="dxa"/>
          </w:tcPr>
          <w:p w14:paraId="37CBF2EE" w14:textId="77777777" w:rsidR="0089279A" w:rsidRPr="00AE71CC" w:rsidRDefault="00057F65" w:rsidP="00742030">
            <w:pPr>
              <w:spacing w:line="216" w:lineRule="auto"/>
              <w:jc w:val="both"/>
              <w:rPr>
                <w:rFonts w:hAnsi="Calibri"/>
                <w:kern w:val="24"/>
                <w:sz w:val="21"/>
                <w:szCs w:val="21"/>
              </w:rPr>
            </w:pPr>
            <w:hyperlink r:id="rId18" w:tgtFrame="_blank" w:history="1">
              <w:r w:rsidR="0089279A" w:rsidRPr="00AE71CC">
                <w:rPr>
                  <w:rFonts w:hAnsi="Calibri"/>
                  <w:kern w:val="24"/>
                  <w:sz w:val="21"/>
                  <w:szCs w:val="21"/>
                </w:rPr>
                <w:t>Machine Learning in Healthcare</w:t>
              </w:r>
            </w:hyperlink>
          </w:p>
        </w:tc>
        <w:tc>
          <w:tcPr>
            <w:tcW w:w="4508" w:type="dxa"/>
          </w:tcPr>
          <w:p w14:paraId="24AE5D97" w14:textId="7FCD552A" w:rsidR="0089279A" w:rsidRPr="00AE71CC" w:rsidRDefault="0089279A" w:rsidP="00742030">
            <w:pPr>
              <w:spacing w:line="216" w:lineRule="auto"/>
              <w:jc w:val="both"/>
              <w:rPr>
                <w:rFonts w:hAnsi="Calibri"/>
                <w:kern w:val="24"/>
                <w:sz w:val="21"/>
                <w:szCs w:val="21"/>
              </w:rPr>
            </w:pPr>
          </w:p>
        </w:tc>
      </w:tr>
      <w:tr w:rsidR="00476672" w:rsidRPr="00AE71CC" w14:paraId="07B6EB3E" w14:textId="77777777" w:rsidTr="00476672">
        <w:trPr>
          <w:trHeight w:val="461"/>
        </w:trPr>
        <w:tc>
          <w:tcPr>
            <w:tcW w:w="4508" w:type="dxa"/>
          </w:tcPr>
          <w:p w14:paraId="1510E4DF" w14:textId="77777777" w:rsidR="00476672" w:rsidRPr="00AE71CC" w:rsidRDefault="00476672" w:rsidP="00742030">
            <w:pPr>
              <w:spacing w:line="216" w:lineRule="auto"/>
              <w:jc w:val="both"/>
              <w:rPr>
                <w:rFonts w:hAnsi="Calibri"/>
                <w:kern w:val="24"/>
                <w:sz w:val="21"/>
                <w:szCs w:val="21"/>
              </w:rPr>
            </w:pPr>
            <w:r w:rsidRPr="00AE71CC">
              <w:rPr>
                <w:rFonts w:hAnsi="Calibri"/>
                <w:kern w:val="24"/>
                <w:sz w:val="21"/>
                <w:szCs w:val="21"/>
              </w:rPr>
              <w:t xml:space="preserve">OPTIONAL: </w:t>
            </w:r>
            <w:hyperlink r:id="rId19" w:tgtFrame="_blank" w:history="1">
              <w:r w:rsidRPr="00AE71CC">
                <w:rPr>
                  <w:rFonts w:hAnsi="Calibri"/>
                  <w:kern w:val="24"/>
                  <w:sz w:val="21"/>
                  <w:szCs w:val="21"/>
                </w:rPr>
                <w:t>Bioinformatics for Genome Analysis</w:t>
              </w:r>
            </w:hyperlink>
          </w:p>
        </w:tc>
        <w:tc>
          <w:tcPr>
            <w:tcW w:w="4508" w:type="dxa"/>
          </w:tcPr>
          <w:p w14:paraId="61940CAB" w14:textId="03492D83" w:rsidR="00476672" w:rsidRPr="00AE71CC" w:rsidRDefault="00476672" w:rsidP="00742030">
            <w:pPr>
              <w:spacing w:line="216" w:lineRule="auto"/>
              <w:jc w:val="both"/>
              <w:rPr>
                <w:rFonts w:hAnsi="Calibri"/>
                <w:kern w:val="24"/>
                <w:sz w:val="21"/>
                <w:szCs w:val="21"/>
              </w:rPr>
            </w:pPr>
            <w:r w:rsidRPr="00AE71CC">
              <w:rPr>
                <w:rFonts w:hAnsi="Calibri"/>
                <w:kern w:val="24"/>
                <w:sz w:val="21"/>
                <w:szCs w:val="21"/>
              </w:rPr>
              <w:t xml:space="preserve">OPTIONAL: </w:t>
            </w:r>
            <w:hyperlink r:id="rId20" w:tgtFrame="_blank" w:history="1">
              <w:r w:rsidRPr="00AE71CC">
                <w:rPr>
                  <w:rFonts w:hAnsi="Calibri"/>
                  <w:kern w:val="24"/>
                  <w:sz w:val="21"/>
                  <w:szCs w:val="21"/>
                </w:rPr>
                <w:t>Advanced Analysis of Linked Health Data</w:t>
              </w:r>
            </w:hyperlink>
          </w:p>
        </w:tc>
      </w:tr>
    </w:tbl>
    <w:p w14:paraId="7A2331AA" w14:textId="77777777" w:rsidR="00476672" w:rsidRPr="00AE71CC" w:rsidRDefault="00476672" w:rsidP="00742030">
      <w:pPr>
        <w:spacing w:after="0"/>
        <w:rPr>
          <w:rFonts w:hAnsi="Calibri"/>
          <w:b/>
          <w:bCs/>
          <w:kern w:val="24"/>
        </w:rPr>
      </w:pPr>
    </w:p>
    <w:p w14:paraId="1FCB5E8F" w14:textId="67426B81" w:rsidR="00FD3D26" w:rsidRPr="00AE71CC" w:rsidRDefault="00FD3D26" w:rsidP="00742030">
      <w:pPr>
        <w:spacing w:after="0"/>
        <w:rPr>
          <w:rFonts w:hAnsi="Calibri"/>
          <w:b/>
          <w:bCs/>
          <w:kern w:val="24"/>
        </w:rPr>
      </w:pPr>
      <w:r w:rsidRPr="00AE71CC">
        <w:rPr>
          <w:rFonts w:hAnsi="Calibri"/>
          <w:b/>
          <w:bCs/>
          <w:kern w:val="24"/>
        </w:rPr>
        <w:t>Employability - examples of roles after graduation</w:t>
      </w:r>
    </w:p>
    <w:p w14:paraId="34880B21" w14:textId="6BB99829" w:rsidR="00877A28" w:rsidRPr="00AE71CC" w:rsidRDefault="006E7AC9" w:rsidP="00742030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</w:pPr>
      <w:r w:rsidRPr="00AE71CC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Data Scientist</w:t>
      </w:r>
    </w:p>
    <w:p w14:paraId="469E19B3" w14:textId="32316462" w:rsidR="00FD3D26" w:rsidRPr="00AE71CC" w:rsidRDefault="006E7AC9" w:rsidP="00742030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</w:pPr>
      <w:r w:rsidRPr="00AE71CC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Application Developer</w:t>
      </w:r>
    </w:p>
    <w:p w14:paraId="4106F7B5" w14:textId="7D12BBCF" w:rsidR="00626EF1" w:rsidRPr="00AE71CC" w:rsidRDefault="00626EF1" w:rsidP="00742030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</w:pPr>
      <w:r w:rsidRPr="00AE71CC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Business Intelligence Manager</w:t>
      </w:r>
    </w:p>
    <w:p w14:paraId="52BBE33E" w14:textId="3FBEAF4A" w:rsidR="00626EF1" w:rsidRPr="00AE71CC" w:rsidRDefault="00626EF1" w:rsidP="00742030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</w:pPr>
      <w:r w:rsidRPr="00AE71CC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Business Intelligence Analyst</w:t>
      </w:r>
    </w:p>
    <w:p w14:paraId="0C24B6E2" w14:textId="2076F146" w:rsidR="00177EED" w:rsidRPr="00AE71CC" w:rsidRDefault="00626EF1" w:rsidP="00742030">
      <w:pPr>
        <w:pStyle w:val="ListParagraph"/>
        <w:numPr>
          <w:ilvl w:val="0"/>
          <w:numId w:val="3"/>
        </w:numPr>
        <w:tabs>
          <w:tab w:val="left" w:pos="2855"/>
          <w:tab w:val="left" w:pos="7032"/>
        </w:tabs>
        <w:spacing w:line="216" w:lineRule="auto"/>
        <w:jc w:val="both"/>
      </w:pPr>
      <w:r w:rsidRPr="00AE71CC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Data Risk Analyst</w:t>
      </w:r>
    </w:p>
    <w:sectPr w:rsidR="00177EED" w:rsidRPr="00AE71CC" w:rsidSect="00D10820">
      <w:headerReference w:type="default" r:id="rId21"/>
      <w:footerReference w:type="default" r:id="rId22"/>
      <w:pgSz w:w="11906" w:h="16838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F8EA" w14:textId="77777777" w:rsidR="00D55ECA" w:rsidRDefault="00D55ECA" w:rsidP="00D10820">
      <w:pPr>
        <w:spacing w:after="0" w:line="240" w:lineRule="auto"/>
      </w:pPr>
      <w:r>
        <w:separator/>
      </w:r>
    </w:p>
  </w:endnote>
  <w:endnote w:type="continuationSeparator" w:id="0">
    <w:p w14:paraId="16456778" w14:textId="77777777" w:rsidR="00D55ECA" w:rsidRDefault="00D55ECA" w:rsidP="00D10820">
      <w:pPr>
        <w:spacing w:after="0" w:line="240" w:lineRule="auto"/>
      </w:pPr>
      <w:r>
        <w:continuationSeparator/>
      </w:r>
    </w:p>
  </w:endnote>
  <w:endnote w:type="continuationNotice" w:id="1">
    <w:p w14:paraId="1969ABAA" w14:textId="77777777" w:rsidR="00D55ECA" w:rsidRDefault="00D55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1EEA" w14:textId="37FC0735" w:rsidR="00D10820" w:rsidRDefault="00D10820" w:rsidP="00A3173A">
    <w:pPr>
      <w:spacing w:after="0"/>
      <w:rPr>
        <w:rStyle w:val="Hyperlink"/>
        <w:sz w:val="16"/>
        <w:szCs w:val="16"/>
      </w:rPr>
    </w:pPr>
    <w:r w:rsidRPr="000360C6">
      <w:rPr>
        <w:sz w:val="16"/>
        <w:szCs w:val="16"/>
      </w:rPr>
      <w:t>Th</w:t>
    </w:r>
    <w:r w:rsidR="008950E8">
      <w:rPr>
        <w:sz w:val="16"/>
        <w:szCs w:val="16"/>
      </w:rPr>
      <w:t>e information on this document is accurate at the time of development – March 2023.  For the most up-to-date information please refer to our website</w:t>
    </w:r>
    <w:r w:rsidR="003C2C98">
      <w:rPr>
        <w:sz w:val="16"/>
        <w:szCs w:val="16"/>
      </w:rPr>
      <w:t>.  This</w:t>
    </w:r>
    <w:r w:rsidRPr="000360C6">
      <w:rPr>
        <w:sz w:val="16"/>
        <w:szCs w:val="16"/>
      </w:rPr>
      <w:t xml:space="preserve"> programme is delivered by the Medical School 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  <w:p w14:paraId="04FA0FE8" w14:textId="77777777" w:rsidR="00D85C72" w:rsidRDefault="00D85C72" w:rsidP="00A3173A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8A7B" w14:textId="77777777" w:rsidR="00D55ECA" w:rsidRDefault="00D55ECA" w:rsidP="00D10820">
      <w:pPr>
        <w:spacing w:after="0" w:line="240" w:lineRule="auto"/>
      </w:pPr>
      <w:r>
        <w:separator/>
      </w:r>
    </w:p>
  </w:footnote>
  <w:footnote w:type="continuationSeparator" w:id="0">
    <w:p w14:paraId="18CA6D79" w14:textId="77777777" w:rsidR="00D55ECA" w:rsidRDefault="00D55ECA" w:rsidP="00D10820">
      <w:pPr>
        <w:spacing w:after="0" w:line="240" w:lineRule="auto"/>
      </w:pPr>
      <w:r>
        <w:continuationSeparator/>
      </w:r>
    </w:p>
  </w:footnote>
  <w:footnote w:type="continuationNotice" w:id="1">
    <w:p w14:paraId="444C1606" w14:textId="77777777" w:rsidR="00D55ECA" w:rsidRDefault="00D55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71BA" w14:textId="27D50228" w:rsidR="003C2C98" w:rsidRDefault="003C2C98" w:rsidP="003C2C9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C092AC" wp14:editId="72C27625">
          <wp:simplePos x="0" y="0"/>
          <wp:positionH relativeFrom="margin">
            <wp:align>right</wp:align>
          </wp:positionH>
          <wp:positionV relativeFrom="paragraph">
            <wp:posOffset>-265969</wp:posOffset>
          </wp:positionV>
          <wp:extent cx="1318117" cy="938254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17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D04"/>
    <w:multiLevelType w:val="hybridMultilevel"/>
    <w:tmpl w:val="FD9E2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B1A53"/>
    <w:multiLevelType w:val="multilevel"/>
    <w:tmpl w:val="261A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B03EF"/>
    <w:multiLevelType w:val="hybridMultilevel"/>
    <w:tmpl w:val="CA78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5581B"/>
    <w:multiLevelType w:val="multilevel"/>
    <w:tmpl w:val="871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237EC"/>
    <w:multiLevelType w:val="hybridMultilevel"/>
    <w:tmpl w:val="D2F2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A2A25"/>
    <w:multiLevelType w:val="multilevel"/>
    <w:tmpl w:val="F904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D425A"/>
    <w:multiLevelType w:val="hybridMultilevel"/>
    <w:tmpl w:val="57D2685E"/>
    <w:lvl w:ilvl="0" w:tplc="36B8B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C5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8E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A0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5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A8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46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5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9D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7831660">
    <w:abstractNumId w:val="0"/>
  </w:num>
  <w:num w:numId="2" w16cid:durableId="1757049555">
    <w:abstractNumId w:val="6"/>
  </w:num>
  <w:num w:numId="3" w16cid:durableId="1380284855">
    <w:abstractNumId w:val="2"/>
  </w:num>
  <w:num w:numId="4" w16cid:durableId="1877887436">
    <w:abstractNumId w:val="3"/>
  </w:num>
  <w:num w:numId="5" w16cid:durableId="1785224793">
    <w:abstractNumId w:val="4"/>
  </w:num>
  <w:num w:numId="6" w16cid:durableId="897125930">
    <w:abstractNumId w:val="1"/>
  </w:num>
  <w:num w:numId="7" w16cid:durableId="252517119">
    <w:abstractNumId w:val="5"/>
  </w:num>
  <w:num w:numId="8" w16cid:durableId="1037973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26"/>
    <w:rsid w:val="0005530C"/>
    <w:rsid w:val="00057F65"/>
    <w:rsid w:val="0006074E"/>
    <w:rsid w:val="00071696"/>
    <w:rsid w:val="00090068"/>
    <w:rsid w:val="00092742"/>
    <w:rsid w:val="00094936"/>
    <w:rsid w:val="000A6D4F"/>
    <w:rsid w:val="000C77B4"/>
    <w:rsid w:val="000E1442"/>
    <w:rsid w:val="000E3509"/>
    <w:rsid w:val="001068CA"/>
    <w:rsid w:val="00110282"/>
    <w:rsid w:val="001269BC"/>
    <w:rsid w:val="00134636"/>
    <w:rsid w:val="00177EED"/>
    <w:rsid w:val="001B534B"/>
    <w:rsid w:val="001C7C85"/>
    <w:rsid w:val="001E6C1F"/>
    <w:rsid w:val="0023521B"/>
    <w:rsid w:val="00264C07"/>
    <w:rsid w:val="00293FCF"/>
    <w:rsid w:val="002D195B"/>
    <w:rsid w:val="00301A96"/>
    <w:rsid w:val="00311810"/>
    <w:rsid w:val="00345368"/>
    <w:rsid w:val="0034604F"/>
    <w:rsid w:val="003475C6"/>
    <w:rsid w:val="003C1EDE"/>
    <w:rsid w:val="003C2C98"/>
    <w:rsid w:val="004136E1"/>
    <w:rsid w:val="00476672"/>
    <w:rsid w:val="004A3CFF"/>
    <w:rsid w:val="004E6747"/>
    <w:rsid w:val="005116F8"/>
    <w:rsid w:val="00512DEA"/>
    <w:rsid w:val="00530C14"/>
    <w:rsid w:val="005A7BB1"/>
    <w:rsid w:val="00626EF1"/>
    <w:rsid w:val="00655DBD"/>
    <w:rsid w:val="00674A63"/>
    <w:rsid w:val="006C0EDC"/>
    <w:rsid w:val="006C114E"/>
    <w:rsid w:val="006E7AC9"/>
    <w:rsid w:val="00742030"/>
    <w:rsid w:val="00762BA9"/>
    <w:rsid w:val="007637F9"/>
    <w:rsid w:val="007756CF"/>
    <w:rsid w:val="00796E8D"/>
    <w:rsid w:val="007A2A36"/>
    <w:rsid w:val="007B7A6C"/>
    <w:rsid w:val="007D79A8"/>
    <w:rsid w:val="007E3573"/>
    <w:rsid w:val="00823254"/>
    <w:rsid w:val="00877A28"/>
    <w:rsid w:val="00886C0F"/>
    <w:rsid w:val="0089279A"/>
    <w:rsid w:val="008950E8"/>
    <w:rsid w:val="008D1AD4"/>
    <w:rsid w:val="008E150C"/>
    <w:rsid w:val="009215A6"/>
    <w:rsid w:val="00966070"/>
    <w:rsid w:val="00971B3F"/>
    <w:rsid w:val="009766EE"/>
    <w:rsid w:val="009D3171"/>
    <w:rsid w:val="00A00DFB"/>
    <w:rsid w:val="00A3173A"/>
    <w:rsid w:val="00A34307"/>
    <w:rsid w:val="00A4167B"/>
    <w:rsid w:val="00A8643E"/>
    <w:rsid w:val="00AE024D"/>
    <w:rsid w:val="00AE71CC"/>
    <w:rsid w:val="00B2198B"/>
    <w:rsid w:val="00B35B3A"/>
    <w:rsid w:val="00B43FD0"/>
    <w:rsid w:val="00B57361"/>
    <w:rsid w:val="00BB192F"/>
    <w:rsid w:val="00BB7A35"/>
    <w:rsid w:val="00BC56F1"/>
    <w:rsid w:val="00C47CE4"/>
    <w:rsid w:val="00C75A36"/>
    <w:rsid w:val="00C9792E"/>
    <w:rsid w:val="00CA6B9F"/>
    <w:rsid w:val="00CC1B8C"/>
    <w:rsid w:val="00CC4606"/>
    <w:rsid w:val="00D10820"/>
    <w:rsid w:val="00D454D5"/>
    <w:rsid w:val="00D55ECA"/>
    <w:rsid w:val="00D70530"/>
    <w:rsid w:val="00D76766"/>
    <w:rsid w:val="00D82509"/>
    <w:rsid w:val="00D85C72"/>
    <w:rsid w:val="00D94B95"/>
    <w:rsid w:val="00E26FE2"/>
    <w:rsid w:val="00EC0360"/>
    <w:rsid w:val="00F13AD7"/>
    <w:rsid w:val="00F7020F"/>
    <w:rsid w:val="00FD1D99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CB74"/>
  <w15:chartTrackingRefBased/>
  <w15:docId w15:val="{D4B8572A-1165-49B5-834F-C4B23AB6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3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E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20"/>
  </w:style>
  <w:style w:type="paragraph" w:styleId="Footer">
    <w:name w:val="footer"/>
    <w:basedOn w:val="Normal"/>
    <w:link w:val="FooterChar"/>
    <w:uiPriority w:val="99"/>
    <w:unhideWhenUsed/>
    <w:rsid w:val="00D1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20"/>
  </w:style>
  <w:style w:type="paragraph" w:styleId="Revision">
    <w:name w:val="Revision"/>
    <w:hidden/>
    <w:uiPriority w:val="99"/>
    <w:semiHidden/>
    <w:rsid w:val="00F13A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3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A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792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C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6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medicine-health-life-science/facilities/data-science-building/" TargetMode="External"/><Relationship Id="rId18" Type="http://schemas.openxmlformats.org/officeDocument/2006/relationships/hyperlink" Target="https://intranet.swan.ac.uk/catalogue/default.asp?type=moddetail&amp;dept=any&amp;mod=PMIM402&amp;ayr=23%2F24&amp;psl=TB2&amp;detailOnly=fals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admissions/english-language-requirements/" TargetMode="External"/><Relationship Id="rId17" Type="http://schemas.openxmlformats.org/officeDocument/2006/relationships/hyperlink" Target="https://intranet.swan.ac.uk/catalogue/default.asp?type=moddetail&amp;dept=any&amp;mod=PMIM502&amp;ayr=23%2F24&amp;psl=TB1&amp;detailOnly=fal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swan.ac.uk/catalogue/default.asp?type=moddetail&amp;dept=any&amp;mod=PMIM302&amp;ayr=23%2F24&amp;psl=TB1%2B2&amp;detailOnly=false" TargetMode="External"/><Relationship Id="rId20" Type="http://schemas.openxmlformats.org/officeDocument/2006/relationships/hyperlink" Target="https://intranet.swan.ac.uk/catalogue/default.asp?type=moddetail&amp;dept=any&amp;mod=PMIM602&amp;ayr=23%2F24&amp;psl=TB1%2B2&amp;detailOnly=fal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media/2023-Country-specific-information-for-international--EU-PG-applicants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intranet.swan.ac.uk/catalogue/default.asp?type=moddetail&amp;dept=any&amp;mod=PMIM202&amp;ayr=23%2F24&amp;psl=TB1&amp;detailOnly=fal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wansea.ac.uk/postgraduate/taught/medicine/health-data-science-msc-pgdip-pgcert/" TargetMode="External"/><Relationship Id="rId19" Type="http://schemas.openxmlformats.org/officeDocument/2006/relationships/hyperlink" Target="https://intranet.swan.ac.uk/catalogue/default.asp?type=moddetail&amp;dept=any&amp;mod=PMGM00&amp;ayr=23%2F24&amp;psl=TB2&amp;detailOnly=fal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ranet.swan.ac.uk/catalogue/default.asp?type=moddetail&amp;dept=any&amp;mod=PMIM102&amp;ayr=23%2F24&amp;psl=TB1&amp;detailOnly=fals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7AB41-EB56-4A2C-821E-1C2E72EB9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BC4D2-FC09-4DF3-9E97-6EFC7549DF44}">
  <ds:schemaRefs>
    <ds:schemaRef ds:uri="http://schemas.microsoft.com/office/infopath/2007/PartnerControls"/>
    <ds:schemaRef ds:uri="http://purl.org/dc/elements/1.1/"/>
    <ds:schemaRef ds:uri="ce8b8a0e-d8b5-4681-859f-a8e96dad8061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db3bd49b-6469-4f83-9a7a-f8009a209f85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0ABFE1-12BB-4CEB-8355-D38CF652B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Adam Holley</cp:lastModifiedBy>
  <cp:revision>5</cp:revision>
  <dcterms:created xsi:type="dcterms:W3CDTF">2023-10-05T12:25:00Z</dcterms:created>
  <dcterms:modified xsi:type="dcterms:W3CDTF">2023-10-05T14:47:00Z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